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441481-2023-01285</w:t>
      </w:r>
    </w:p>
    <w:p>
      <w:pPr>
        <w:jc w:val="center"/>
      </w:pPr>
      <w:r>
        <w:rPr>
          <w:b/>
          <w:sz w:val="24"/>
        </w:rPr>
        <w:t>采购项目编号：</w:t>
      </w:r>
      <w:r>
        <w:rPr>
          <w:b/>
          <w:sz w:val="24"/>
        </w:rPr>
        <w:t>GDXZ-ZG-2023323</w:t>
      </w:r>
    </w:p>
    <w:p>
      <w:pPr>
        <w:jc w:val="center"/>
      </w:pPr>
      <w:r>
        <w:rPr>
          <w:b/>
          <w:sz w:val="24"/>
        </w:rPr>
        <w:t>项目名称：</w:t>
      </w:r>
      <w:r>
        <w:rPr>
          <w:b/>
          <w:sz w:val="24"/>
        </w:rPr>
        <w:t>兴宁市幼儿园及相关配套设施设备建设项目（中央商贸大道碧桂园幼儿园设施设备采购）</w:t>
      </w:r>
    </w:p>
    <w:p>
      <w:pPr>
        <w:jc w:val="center"/>
      </w:pPr>
      <w:r>
        <w:rPr>
          <w:b/>
          <w:sz w:val="24"/>
        </w:rPr>
        <w:t>采购人：</w:t>
      </w:r>
      <w:r>
        <w:rPr>
          <w:b/>
          <w:sz w:val="24"/>
        </w:rPr>
        <w:t>兴宁市教育局</w:t>
      </w:r>
    </w:p>
    <w:p>
      <w:pPr>
        <w:jc w:val="center"/>
      </w:pPr>
      <w:r>
        <w:rPr>
          <w:b/>
          <w:sz w:val="24"/>
        </w:rPr>
        <w:t>采购代理机构：</w:t>
      </w:r>
      <w:r>
        <w:rPr>
          <w:b/>
          <w:sz w:val="24"/>
        </w:rPr>
        <w:t>广东协作项目管理有限公司</w:t>
      </w:r>
    </w:p>
    <w:p>
      <w:pPr>
        <w:ind w:firstLine="480"/>
      </w:pPr>
    </w:p>
    <w:p>
      <w:r>
        <w:rPr/>
        <w:t xml:space="preserve"> </w:t>
      </w:r>
    </w:p>
    <w:p/>
    <w:p>
      <w:pPr>
        <w:jc w:val="center"/>
      </w:pPr>
      <w:r>
        <w:rPr>
          <w:b/>
          <w:sz w:val="36"/>
        </w:rPr>
        <w:t>第一章投标邀请</w:t>
      </w:r>
    </w:p>
    <w:p>
      <w:pPr>
        <w:ind w:firstLine="480"/>
      </w:pPr>
      <w:r>
        <w:rPr/>
        <w:t>广东协作项目管理有限公司</w:t>
      </w:r>
      <w:r>
        <w:rPr/>
        <w:t>受</w:t>
      </w:r>
      <w:r>
        <w:rPr/>
        <w:t>兴宁市教育局</w:t>
      </w:r>
      <w:r>
        <w:rPr/>
        <w:t>的委托，采用</w:t>
      </w:r>
      <w:r>
        <w:rPr/>
        <w:t>公开招标</w:t>
      </w:r>
      <w:r>
        <w:rPr/>
        <w:t>方式组织采购</w:t>
      </w:r>
      <w:r>
        <w:rPr/>
        <w:t>兴宁市幼儿园及相关配套设施设备建设项目（中央商贸大道碧桂园幼儿园设施设备采购）</w:t>
      </w:r>
      <w:r>
        <w:rPr/>
        <w:t>。欢迎符合资格条件的国内供应商参加投标。</w:t>
      </w:r>
    </w:p>
    <w:p>
      <w:r>
        <w:rPr>
          <w:b/>
          <w:sz w:val="28"/>
        </w:rPr>
        <w:t>一.项目概述</w:t>
      </w:r>
    </w:p>
    <w:p>
      <w:r>
        <w:rPr>
          <w:b/>
          <w:sz w:val="24"/>
        </w:rPr>
        <w:t>1.名称与编号</w:t>
      </w:r>
    </w:p>
    <w:p>
      <w:pPr>
        <w:ind w:firstLine="480"/>
      </w:pPr>
      <w:r>
        <w:rPr/>
        <w:t>项目名称：</w:t>
      </w:r>
      <w:r>
        <w:rPr/>
        <w:t>兴宁市幼儿园及相关配套设施设备建设项目（中央商贸大道碧桂园幼儿园设施设备采购）</w:t>
      </w:r>
    </w:p>
    <w:p>
      <w:pPr>
        <w:ind w:firstLine="480"/>
      </w:pPr>
      <w:r>
        <w:rPr/>
        <w:t>采购计划编号：</w:t>
      </w:r>
      <w:r>
        <w:rPr/>
        <w:t>441481-2023-01285</w:t>
      </w:r>
    </w:p>
    <w:p>
      <w:pPr>
        <w:ind w:firstLine="480"/>
      </w:pPr>
      <w:r>
        <w:rPr/>
        <w:t>采购项目编号：</w:t>
      </w:r>
      <w:r>
        <w:rPr/>
        <w:t>GDXZ-ZG-2023323</w:t>
      </w:r>
    </w:p>
    <w:p>
      <w:pPr>
        <w:ind w:firstLine="480"/>
      </w:pPr>
      <w:r>
        <w:rPr/>
        <w:t>采购方式：</w:t>
      </w:r>
      <w:r>
        <w:rPr/>
        <w:t>公开招标</w:t>
      </w:r>
    </w:p>
    <w:p>
      <w:pPr>
        <w:ind w:firstLine="480"/>
      </w:pPr>
      <w:r>
        <w:rPr/>
        <w:t>预算金额：</w:t>
      </w:r>
      <w:r>
        <w:rPr/>
        <w:t>7,781,345.77</w:t>
      </w:r>
      <w:r>
        <w:rPr/>
        <w:t>元</w:t>
      </w:r>
    </w:p>
    <w:p>
      <w:r>
        <w:rPr>
          <w:b/>
          <w:sz w:val="24"/>
        </w:rPr>
        <w:t>2.项目内容及需求情况（采购项目技术规格、参数及要求）</w:t>
      </w:r>
    </w:p>
    <w:p>
      <w:pPr>
        <w:ind w:firstLine="480"/>
      </w:pPr>
    </w:p>
    <w:p/>
    <w:p>
      <w:r>
        <w:rPr/>
        <w:t>采购包1(中央商贸大道碧桂园幼儿园设施设备):</w:t>
      </w:r>
    </w:p>
    <w:p>
      <w:r>
        <w:rPr/>
        <w:t>采购包预算金额：7,781,345.77元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教学仪器</w:t>
            </w:r>
          </w:p>
        </w:tc>
        <w:tc>
          <w:tcPr>
            <w:tcW w:type="dxa" w:w="2052"/>
          </w:tcPr>
          <w:p>
            <w:r>
              <w:rPr/>
              <w:t>其他设施设备采购</w:t>
            </w:r>
          </w:p>
        </w:tc>
        <w:tc>
          <w:tcPr>
            <w:tcW w:type="dxa" w:w="977"/>
          </w:tcPr>
          <w:p>
            <w:r>
              <w:rPr/>
              <w:t>1.00(批)</w:t>
            </w:r>
          </w:p>
        </w:tc>
        <w:tc>
          <w:tcPr>
            <w:tcW w:type="dxa" w:w="977"/>
          </w:tcPr>
          <w:p>
            <w:r>
              <w:rPr/>
              <w:t>详见第二章</w:t>
            </w:r>
          </w:p>
        </w:tc>
        <w:tc>
          <w:tcPr>
            <w:tcW w:type="dxa" w:w="977"/>
          </w:tcPr>
          <w:p>
            <w:r>
              <w:rPr/>
              <w:t>6,583,775.67</w:t>
            </w:r>
          </w:p>
        </w:tc>
        <w:tc>
          <w:tcPr>
            <w:tcW w:type="dxa" w:w="977"/>
          </w:tcPr>
          <w:p>
            <w:r>
              <w:rPr/>
              <w:t>否</w:t>
            </w:r>
          </w:p>
        </w:tc>
      </w:tr>
      <w:tr>
        <w:tc>
          <w:tcPr>
            <w:tcW w:type="dxa" w:w="977"/>
          </w:tcPr>
          <w:p>
            <w:r>
              <w:rPr/>
              <w:t>1-2</w:t>
            </w:r>
          </w:p>
        </w:tc>
        <w:tc>
          <w:tcPr>
            <w:tcW w:type="dxa" w:w="1368"/>
          </w:tcPr>
          <w:p>
            <w:r>
              <w:rPr/>
              <w:t>教学仪器</w:t>
            </w:r>
          </w:p>
        </w:tc>
        <w:tc>
          <w:tcPr>
            <w:tcW w:type="dxa" w:w="2052"/>
          </w:tcPr>
          <w:p>
            <w:r>
              <w:rPr/>
              <w:t>交互智能平板</w:t>
            </w:r>
          </w:p>
        </w:tc>
        <w:tc>
          <w:tcPr>
            <w:tcW w:type="dxa" w:w="977"/>
          </w:tcPr>
          <w:p>
            <w:r>
              <w:rPr/>
              <w:t>10.00(套)</w:t>
            </w:r>
          </w:p>
        </w:tc>
        <w:tc>
          <w:tcPr>
            <w:tcW w:type="dxa" w:w="977"/>
          </w:tcPr>
          <w:p>
            <w:r>
              <w:rPr/>
              <w:t>详见第二章</w:t>
            </w:r>
          </w:p>
        </w:tc>
        <w:tc>
          <w:tcPr>
            <w:tcW w:type="dxa" w:w="977"/>
          </w:tcPr>
          <w:p>
            <w:r>
              <w:rPr/>
              <w:t>415,180.10</w:t>
            </w:r>
          </w:p>
        </w:tc>
        <w:tc>
          <w:tcPr>
            <w:tcW w:type="dxa" w:w="977"/>
          </w:tcPr>
          <w:p>
            <w:r>
              <w:rPr/>
              <w:t>否</w:t>
            </w:r>
          </w:p>
        </w:tc>
      </w:tr>
      <w:tr>
        <w:tc>
          <w:tcPr>
            <w:tcW w:type="dxa" w:w="977"/>
          </w:tcPr>
          <w:p>
            <w:r>
              <w:rPr/>
              <w:t>1-3</w:t>
            </w:r>
          </w:p>
        </w:tc>
        <w:tc>
          <w:tcPr>
            <w:tcW w:type="dxa" w:w="1368"/>
          </w:tcPr>
          <w:p>
            <w:r>
              <w:rPr/>
              <w:t>教学仪器</w:t>
            </w:r>
          </w:p>
        </w:tc>
        <w:tc>
          <w:tcPr>
            <w:tcW w:type="dxa" w:w="2052"/>
          </w:tcPr>
          <w:p>
            <w:r>
              <w:rPr/>
              <w:t>其他安装服务</w:t>
            </w:r>
          </w:p>
        </w:tc>
        <w:tc>
          <w:tcPr>
            <w:tcW w:type="dxa" w:w="977"/>
          </w:tcPr>
          <w:p>
            <w:r>
              <w:rPr/>
              <w:t>1.00(项)</w:t>
            </w:r>
          </w:p>
        </w:tc>
        <w:tc>
          <w:tcPr>
            <w:tcW w:type="dxa" w:w="977"/>
          </w:tcPr>
          <w:p>
            <w:r>
              <w:rPr/>
              <w:t>详见第二章</w:t>
            </w:r>
          </w:p>
        </w:tc>
        <w:tc>
          <w:tcPr>
            <w:tcW w:type="dxa" w:w="977"/>
          </w:tcPr>
          <w:p>
            <w:r>
              <w:rPr/>
              <w:t>782,390.00</w:t>
            </w:r>
          </w:p>
        </w:tc>
        <w:tc>
          <w:tcPr>
            <w:tcW w:type="dxa" w:w="977"/>
          </w:tcPr>
          <w:p>
            <w:r>
              <w:rPr/>
              <w:t>否</w:t>
            </w:r>
          </w:p>
        </w:tc>
      </w:tr>
    </w:tbl>
    <w:p/>
    <w:p>
      <w:r>
        <w:rPr/>
        <w:t>本采购包不接受联合体投标</w:t>
      </w:r>
    </w:p>
    <w:p/>
    <w:p>
      <w:r>
        <w:rPr/>
        <w:t>合同履行期限：自合同签订之日起至合同所约定的全部义务履行完毕之日止。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3）具有良好的商业信誉和健全的财务会计制度：提供2022年度财务状况报告复印件，若供应商注册未满一年的，则提供成立至今的月或季度财务状况报告，或提供基本户银行出具的资信证明复印件。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采购包1（中央商贸大道碧桂园幼儿园设施设备）：</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http://www.gdxzchina.com</w:t>
      </w:r>
    </w:p>
    <w:p>
      <w:r>
        <w:rPr>
          <w:b/>
          <w:sz w:val="28"/>
        </w:rPr>
        <w:t>六.本项目联系方式：</w:t>
      </w:r>
    </w:p>
    <w:p>
      <w:r>
        <w:rPr>
          <w:b/>
          <w:sz w:val="24"/>
        </w:rPr>
        <w:t>1.采购人信息</w:t>
      </w:r>
    </w:p>
    <w:p>
      <w:pPr>
        <w:ind w:firstLine="480"/>
      </w:pPr>
      <w:r>
        <w:rPr/>
        <w:t>名称：</w:t>
      </w:r>
      <w:r>
        <w:rPr/>
        <w:t>兴宁市教育局</w:t>
      </w:r>
    </w:p>
    <w:p>
      <w:pPr>
        <w:ind w:firstLine="480"/>
      </w:pPr>
      <w:r>
        <w:rPr/>
        <w:t>地址：</w:t>
      </w:r>
      <w:r>
        <w:rPr/>
        <w:t>机场路121号</w:t>
      </w:r>
    </w:p>
    <w:p>
      <w:pPr>
        <w:ind w:firstLine="480"/>
      </w:pPr>
      <w:r>
        <w:rPr/>
        <w:t>联系方式：</w:t>
      </w:r>
      <w:r>
        <w:rPr/>
        <w:t>0753-6105328</w:t>
      </w:r>
    </w:p>
    <w:p>
      <w:r>
        <w:rPr>
          <w:b/>
          <w:sz w:val="24"/>
        </w:rPr>
        <w:t>2.采购代理机构信息</w:t>
      </w:r>
    </w:p>
    <w:p>
      <w:pPr>
        <w:ind w:firstLine="480"/>
      </w:pPr>
      <w:r>
        <w:rPr/>
        <w:t>名称：</w:t>
      </w:r>
      <w:r>
        <w:rPr/>
        <w:t>广东协作项目管理有限公司</w:t>
      </w:r>
    </w:p>
    <w:p>
      <w:pPr>
        <w:ind w:firstLine="480"/>
      </w:pPr>
      <w:r>
        <w:rPr/>
        <w:t>地址：</w:t>
      </w:r>
      <w:r>
        <w:rPr/>
        <w:t>梅州市梅县区新县城新兴路百福豪园63号</w:t>
      </w:r>
    </w:p>
    <w:p>
      <w:pPr>
        <w:ind w:firstLine="480"/>
      </w:pPr>
      <w:r>
        <w:rPr/>
        <w:t>联系方式：</w:t>
      </w:r>
      <w:r>
        <w:rPr/>
        <w:t>0753-2501516</w:t>
      </w:r>
    </w:p>
    <w:p>
      <w:r>
        <w:rPr>
          <w:b/>
          <w:sz w:val="24"/>
        </w:rPr>
        <w:t>3.项目联系方式</w:t>
      </w:r>
    </w:p>
    <w:p>
      <w:pPr>
        <w:ind w:firstLine="480"/>
      </w:pPr>
      <w:r>
        <w:rPr/>
        <w:t>项目联系人：</w:t>
      </w:r>
      <w:r>
        <w:rPr/>
        <w:t>肖工</w:t>
      </w:r>
    </w:p>
    <w:p>
      <w:pPr>
        <w:ind w:firstLine="480"/>
      </w:pPr>
      <w:r>
        <w:rPr/>
        <w:t>电话：</w:t>
      </w:r>
      <w:r>
        <w:rPr/>
        <w:t>0753-2501516</w:t>
      </w:r>
    </w:p>
    <w:p>
      <w:r>
        <w:rPr>
          <w:b/>
          <w:sz w:val="24"/>
        </w:rPr>
        <w:t>4.技术支持联系方式</w:t>
      </w:r>
    </w:p>
    <w:p>
      <w:pPr>
        <w:ind w:firstLine="480"/>
      </w:pPr>
      <w:r>
        <w:rPr/>
        <w:t>云平台联系方式：020-88696588</w:t>
      </w:r>
    </w:p>
    <w:p>
      <w:r>
        <w:rPr/>
        <w:t>采购代理机构：</w:t>
      </w:r>
      <w:r>
        <w:rPr/>
        <w:t>广东协作项目管理有限公司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r>
        <w:rPr>
          <w:b/>
          <w:sz w:val="24"/>
        </w:rPr>
        <w:t>一、项目概况：</w:t>
      </w:r>
    </w:p>
    <w:p>
      <w:pPr>
        <w:ind w:firstLine="480"/>
        <w:jc w:val="both"/>
      </w:pPr>
      <w:r>
        <w:rPr>
          <w:sz w:val="22"/>
        </w:rPr>
        <w:t>1</w:t>
      </w:r>
      <w:r>
        <w:rPr>
          <w:sz w:val="22"/>
        </w:rPr>
        <w:t>、</w:t>
      </w:r>
      <w:r>
        <w:rPr>
          <w:sz w:val="22"/>
        </w:rPr>
        <w:t>招标文件中所出现的工艺、材料、参数仅为方便描述而没有限制性，投标人可以在其提供的文件资料中选用替代标准，但这些替代标准应优于或相当于招标文件的标准。投标人必须确保其真实性，如发现投标人提供虚假材料谋取中标的，采购人有权拒绝接收其中标货物，并追究其法律责任。</w:t>
      </w:r>
    </w:p>
    <w:p>
      <w:pPr>
        <w:ind w:firstLine="480"/>
        <w:jc w:val="both"/>
      </w:pPr>
      <w:r>
        <w:rPr>
          <w:sz w:val="22"/>
        </w:rPr>
        <w:t>2</w:t>
      </w:r>
      <w:r>
        <w:rPr>
          <w:sz w:val="22"/>
        </w:rPr>
        <w:t>、</w:t>
      </w:r>
      <w:r>
        <w:rPr>
          <w:sz w:val="22"/>
        </w:rPr>
        <w:t>投标人应对包内所有的内容进行投标，不允许只对包内其中部分内容进行投标，否则作无效投标处理。</w:t>
      </w:r>
    </w:p>
    <w:p>
      <w:pPr>
        <w:ind w:firstLine="480"/>
        <w:jc w:val="both"/>
      </w:pPr>
      <w:r>
        <w:rPr>
          <w:sz w:val="22"/>
        </w:rPr>
        <w:t>3</w:t>
      </w:r>
      <w:r>
        <w:rPr>
          <w:sz w:val="22"/>
        </w:rPr>
        <w:t>、（</w:t>
      </w:r>
      <w:r>
        <w:rPr>
          <w:sz w:val="22"/>
        </w:rPr>
        <w:t>1</w:t>
      </w:r>
      <w:r>
        <w:rPr>
          <w:sz w:val="22"/>
        </w:rPr>
        <w:t>）投标人提供的核心产品品牌相同，且通过资格审查、符合性审查的不同投标人参加同一采购包下投标的，按一家投标人计算。</w:t>
      </w:r>
    </w:p>
    <w:p>
      <w:pPr>
        <w:ind w:firstLine="480"/>
        <w:jc w:val="both"/>
      </w:pPr>
      <w:r>
        <w:rPr>
          <w:sz w:val="22"/>
        </w:rPr>
        <w:t>（</w:t>
      </w:r>
      <w:r>
        <w:rPr>
          <w:sz w:val="22"/>
        </w:rPr>
        <w:t>2</w:t>
      </w:r>
      <w:r>
        <w:rPr>
          <w:sz w:val="22"/>
        </w:rPr>
        <w:t>）提供的核心产品品牌相同，评审后得分最高的同品牌投标人获得本采购包中标人推荐资格，其他同品牌投标人不作为本采购包中标候选人。</w:t>
      </w:r>
    </w:p>
    <w:p>
      <w:pPr>
        <w:ind w:firstLine="480"/>
        <w:jc w:val="both"/>
      </w:pPr>
      <w:r>
        <w:rPr>
          <w:sz w:val="22"/>
        </w:rPr>
        <w:t>（</w:t>
      </w:r>
      <w:r>
        <w:rPr>
          <w:sz w:val="22"/>
        </w:rPr>
        <w:t>3</w:t>
      </w:r>
      <w:r>
        <w:rPr>
          <w:sz w:val="22"/>
        </w:rPr>
        <w:t>）核心产品品牌至少满足</w:t>
      </w:r>
      <w:r>
        <w:rPr>
          <w:sz w:val="22"/>
        </w:rPr>
        <w:t>3</w:t>
      </w:r>
      <w:r>
        <w:rPr>
          <w:sz w:val="22"/>
        </w:rPr>
        <w:t>个，否则本采购包作废标处理。</w:t>
      </w:r>
    </w:p>
    <w:p>
      <w:pPr>
        <w:jc w:val="both"/>
      </w:pPr>
      <w:r>
        <w:rPr>
          <w:sz w:val="22"/>
        </w:rPr>
        <w:t xml:space="preserve">    （</w:t>
      </w:r>
      <w:r>
        <w:rPr>
          <w:sz w:val="22"/>
        </w:rPr>
        <w:t>4</w:t>
      </w:r>
      <w:r>
        <w:rPr>
          <w:sz w:val="22"/>
        </w:rPr>
        <w:t>）当具有多个核心产品时，不同供应商提供的任意一项核心产品的品牌相同，则视同其是所响应核心产品品牌相同供应商。</w:t>
      </w:r>
    </w:p>
    <w:p>
      <w:pPr>
        <w:ind w:firstLine="480"/>
        <w:jc w:val="both"/>
      </w:pPr>
    </w:p>
    <w:p/>
    <w:p>
      <w:pPr>
        <w:ind w:firstLine="480"/>
      </w:pPr>
    </w:p>
    <w:p/>
    <w:p>
      <w:r>
        <w:rPr/>
        <w:t>采购包1（中央商贸大道碧桂园幼儿园设施设备）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签订合同后15天内完成交货，30天内完成安装、调试，并完成对使用单位相关人员的操作与使用培训。（投标人需提供承诺函）</w:t>
            </w:r>
          </w:p>
        </w:tc>
      </w:tr>
      <w:tr>
        <w:tc>
          <w:tcPr>
            <w:tcW w:type="dxa" w:w="4153"/>
          </w:tcPr>
          <w:p>
            <w:r>
              <w:rPr/>
              <w:t>标的提供的地点</w:t>
            </w:r>
          </w:p>
        </w:tc>
        <w:tc>
          <w:tcPr>
            <w:tcW w:type="dxa" w:w="4153"/>
          </w:tcPr>
          <w:p/>
          <w:p>
            <w:r>
              <w:rPr/>
              <w:t>采购人指定地点，交货方式为免费送货上门。</w:t>
            </w:r>
          </w:p>
        </w:tc>
      </w:tr>
      <w:tr>
        <w:tc>
          <w:tcPr>
            <w:tcW w:type="dxa" w:w="4153"/>
          </w:tcPr>
          <w:p>
            <w:r>
              <w:rPr/>
              <w:t>付款方式</w:t>
            </w:r>
          </w:p>
        </w:tc>
        <w:tc>
          <w:tcPr>
            <w:tcW w:type="dxa" w:w="4153"/>
          </w:tcPr>
          <w:p/>
          <w:p/>
          <w:p>
            <w:r>
              <w:rPr/>
              <w:t>1期：支付比例100%,鉴于本采购项目所包括的其他安装服务款项的审核和结算原则，故本项目分两部分进行支付： 一、设施设备 （一）合同签订之日起5个工作日内，采购人向中标人支付合同该部分金额的50%。（二）主要设备进场后之日起5个工作日内，采购人向中标人支付至合同该部分金额的80%。（三）完成所有设施设备验收之日起5个工作日内，采购人向中标支付至合同该部分金额的100%。 二、其他安装服务 （一）合同签订之日起5个工作日内，采购人向中标人支付合同该部分金额的30%。（二）采购人最终确定安装服务方案及工作清单之日起5个工作日内，采购人向中标人支付至合同该部分金额的85%。（三）完成项目总体最终验收并收到政府财政主管部门的财审结果之日起起5个工作日内，采购人向中标支付至合同总金额的100%。 三、中标人提供以下资料向采购人申请合同款：①合同；②中标人开具的货物类发票；③采购人依法组织验收的验收报告（加盖采购人公章）；④中标通知书。 四、若中标供应商为中小企业（须提供《中小企业声明函》），则按《广东省财政厅广东省工业和信息化厅关于进一步加强政府采购促进中小企业发展的通知》（粤财采购〔2022〕6号）执行。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人不能因此主张采购人违反合同约定，不能因此主张解除合同。 合同款逾期付款责任：除财政拨款延迟、中标供应商自身原因或不可抗力原因外，采购人逾期办理财政支付手续的，每逾期一日，采购人应当按照应付未付款项的3‰支付逾期付款滞纳金至办理财政支付  手续当日。采购人逾期办理财政支付手续达到5个工作日及以上的，中标供应商有权单方面解除合同，采购人应按当月应付费用总额的10%向中标供应商支付违约金。</w:t>
            </w:r>
          </w:p>
        </w:tc>
      </w:tr>
      <w:tr>
        <w:tc>
          <w:tcPr>
            <w:tcW w:type="dxa" w:w="4153"/>
          </w:tcPr>
          <w:p>
            <w:r>
              <w:rPr/>
              <w:t>验收要求</w:t>
            </w:r>
          </w:p>
        </w:tc>
        <w:tc>
          <w:tcPr>
            <w:tcW w:type="dxa" w:w="4153"/>
          </w:tcPr>
          <w:p/>
          <w:p/>
          <w:p/>
          <w:p>
            <w:r>
              <w:rPr/>
              <w:t>1期：1.依文件要求对全部货物、产品、型号、规格、数量、外型、外观、包装及资料、文件（如装箱单、保修单、随箱介质等）的验收；2.拆箱后，应对其全部产品、零件、配件、用户许可证书、资料、介质进行登记，并与装箱单对比，如有出入应立即书面记录，由供货商解决，如影响安装则按合同有关条款处理；3.如商检或者货物测试中发现货物性能指标或者功能上不符合采购文件和合同要求时，将被看作性能不合格，货物使用单位有权拒收并要求赔偿；4.验收时供应商负责将全部有关技术文件、资料、及安装、测试、验收报告等到文档汇集成册交付采购人；5.中标人投标时所提供的货物如在实际供货时已经废型（不列入该厂家当时的产品系统），如果未能按原价提供更高配置的货物，则按违约处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供货时间：</w:t>
            </w:r>
          </w:p>
        </w:tc>
        <w:tc>
          <w:tcPr>
            <w:tcW w:type="dxa" w:w="2076"/>
          </w:tcPr>
          <w:p>
            <w:pPr>
              <w:jc w:val="left"/>
            </w:pPr>
            <w:r>
              <w:rPr/>
              <w:t>签订合同后15天内完成交货，30天内完成安装、调试，并完成对使用单位相关人员的操作与使用培训。（投标人需提供承诺函）</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1.本项目采购预算金额为人民币7,781,345.77元，其中已包括“其他安装服务”分项的费用，该部分的金额为人民币782390.00元。  鉴于安装服务的具体内容需在中标后按中标产品具体需要情况进行配套实施，此费用在招标时作为预估费，不作为竞争性费用。此报价为固定  报价，各投标人均按预估费金额（即：¥782390.00）统一填报，不得修改，否则将被视为投标报价无效。  2.除招标文件已作出明确规定的部分（其他安装服务）外，报价应包含货物及所需附件的购置费、包装费、运输费、安装调试费、人工费、保险费、各种税费、验收费、售后服务费及合同实施过程中的应预见和不可预见费用等完成合同规定责任和义务、达到合同目的的一切费用。还应包括所有应支付的对专利权和版权、设计或其他知识产权而需要向其他方支付的版税。如果中标人签署合同后，在供货、安装、调试、培训等工作中出现货物的任何遗漏，均由中标人无条件免费提供，采购人将不再支付任何费用。</w:t>
            </w:r>
          </w:p>
        </w:tc>
      </w:tr>
      <w:tr>
        <w:tc>
          <w:tcPr>
            <w:tcW w:type="dxa" w:w="2076"/>
          </w:tcPr>
          <w:p>
            <w:pPr>
              <w:jc w:val="center"/>
            </w:pPr>
          </w:p>
        </w:tc>
        <w:tc>
          <w:tcPr>
            <w:tcW w:type="dxa" w:w="2076"/>
          </w:tcPr>
          <w:p>
            <w:pPr>
              <w:jc w:val="center"/>
            </w:pPr>
            <w:r>
              <w:rPr/>
              <w:t>3</w:t>
            </w:r>
          </w:p>
        </w:tc>
        <w:tc>
          <w:tcPr>
            <w:tcW w:type="dxa" w:w="2076"/>
          </w:tcPr>
          <w:p>
            <w:pPr>
              <w:jc w:val="left"/>
            </w:pPr>
            <w:r>
              <w:rPr/>
              <w:t>货物要求：</w:t>
            </w:r>
          </w:p>
        </w:tc>
        <w:tc>
          <w:tcPr>
            <w:tcW w:type="dxa" w:w="2076"/>
          </w:tcPr>
          <w:p>
            <w:pPr>
              <w:jc w:val="left"/>
            </w:pPr>
            <w:r>
              <w:rPr/>
              <w:t>1.中标人所投货物须是厂商原装的、全新的、型号、性能及指标符合或优于国家及招标文件提出的有关技术、质量、安全标准、要求的货物。 2.设备包装均应有良好的防湿、防锈、防潮、防雨、防腐及防碰撞的措施。凡由于包装不良造成的损失和由此产生的费用均由中标人承担。 3.设备外观清洁，标记编号以及盘面显示等字体清晰，明确。 4.所投产品须是在中国范围内合法销售，并完全符合用户要求的产品。 5.中标人应提供包括但不限于满足设备安装、使用和维护的技术文件，如设备和附件箱清单、质量合格检验证明文件、保修服务卡。</w:t>
            </w:r>
          </w:p>
        </w:tc>
      </w:tr>
      <w:tr>
        <w:tc>
          <w:tcPr>
            <w:tcW w:type="dxa" w:w="2076"/>
          </w:tcPr>
          <w:p>
            <w:pPr>
              <w:jc w:val="center"/>
            </w:pPr>
          </w:p>
        </w:tc>
        <w:tc>
          <w:tcPr>
            <w:tcW w:type="dxa" w:w="2076"/>
          </w:tcPr>
          <w:p>
            <w:pPr>
              <w:jc w:val="center"/>
            </w:pPr>
            <w:r>
              <w:rPr/>
              <w:t>4</w:t>
            </w:r>
          </w:p>
        </w:tc>
        <w:tc>
          <w:tcPr>
            <w:tcW w:type="dxa" w:w="2076"/>
          </w:tcPr>
          <w:p>
            <w:pPr>
              <w:jc w:val="left"/>
            </w:pPr>
            <w:r>
              <w:rPr/>
              <w:t>售后要求：</w:t>
            </w:r>
          </w:p>
        </w:tc>
        <w:tc>
          <w:tcPr>
            <w:tcW w:type="dxa" w:w="2076"/>
          </w:tcPr>
          <w:p>
            <w:pPr>
              <w:jc w:val="left"/>
            </w:pPr>
            <w:r>
              <w:rPr/>
              <w:t>1.所有货物保证在交付采购人使用之日起，承诺 1 年免费售后服务质量保证期，终身维护，在质保期内中标人免费提供货物正常使用情况下的维修及保养服务。 2.采购人按中标价格和数量向中标人采购本项目货物后，若需增加采购相同品牌型号的货物，中标人必须按相同的配置和不高于中标价格销售给采购人。 3.中标人所供货物须按厂家承诺实行“三包”，若发现本次采购的货物本身存在缺陷，供应商须无条件退货或者更换同类产品。 4.在保用的期限内，货物出现质量问题的，无偿为采购人更换相应货物，并保证采购人的正常使用；中标人应在接到通知后2小时之内响应，4小时内到现场，一般情况在8小时内须排除，特殊情况需与采购人说明情况，并提供代用货物，保证采购人的正常工作使用。</w:t>
            </w:r>
          </w:p>
        </w:tc>
      </w:tr>
      <w:tr>
        <w:tc>
          <w:tcPr>
            <w:tcW w:type="dxa" w:w="2076"/>
          </w:tcPr>
          <w:p>
            <w:pPr>
              <w:jc w:val="center"/>
            </w:pPr>
          </w:p>
        </w:tc>
        <w:tc>
          <w:tcPr>
            <w:tcW w:type="dxa" w:w="2076"/>
          </w:tcPr>
          <w:p>
            <w:pPr>
              <w:jc w:val="center"/>
            </w:pPr>
            <w:r>
              <w:rPr/>
              <w:t>5</w:t>
            </w:r>
          </w:p>
        </w:tc>
        <w:tc>
          <w:tcPr>
            <w:tcW w:type="dxa" w:w="2076"/>
          </w:tcPr>
          <w:p>
            <w:pPr>
              <w:jc w:val="left"/>
            </w:pPr>
            <w:r>
              <w:rPr/>
              <w:t>施工要求：</w:t>
            </w:r>
          </w:p>
        </w:tc>
        <w:tc>
          <w:tcPr>
            <w:tcW w:type="dxa" w:w="2076"/>
          </w:tcPr>
          <w:p>
            <w:pPr>
              <w:jc w:val="left"/>
            </w:pPr>
            <w:r>
              <w:rPr/>
              <w:t>1.中标人在工程建设阶段必须按照国家及行业相关安全法律法规组织施工，确保不发生安全事故。如发生施工安全事故，由中标人承担所有责任。 2.中标人在施工过程中，如需对墙体和地面等作局部破损，须在施工前取得采购人的书面同意，并负责恢复原状。</w:t>
            </w:r>
          </w:p>
        </w:tc>
      </w:tr>
      <w:tr>
        <w:tc>
          <w:tcPr>
            <w:tcW w:type="dxa" w:w="2076"/>
          </w:tcPr>
          <w:p>
            <w:pPr>
              <w:jc w:val="center"/>
            </w:pPr>
          </w:p>
        </w:tc>
        <w:tc>
          <w:tcPr>
            <w:tcW w:type="dxa" w:w="2076"/>
          </w:tcPr>
          <w:p>
            <w:pPr>
              <w:jc w:val="center"/>
            </w:pPr>
            <w:r>
              <w:rPr/>
              <w:t>6</w:t>
            </w:r>
          </w:p>
        </w:tc>
        <w:tc>
          <w:tcPr>
            <w:tcW w:type="dxa" w:w="2076"/>
          </w:tcPr>
          <w:p>
            <w:pPr>
              <w:jc w:val="left"/>
            </w:pPr>
            <w:r>
              <w:rPr/>
              <w:t>设备布局要求</w:t>
            </w:r>
          </w:p>
        </w:tc>
        <w:tc>
          <w:tcPr>
            <w:tcW w:type="dxa" w:w="2076"/>
          </w:tcPr>
          <w:p>
            <w:pPr>
              <w:jc w:val="left"/>
            </w:pPr>
            <w:r>
              <w:rPr/>
              <w:t>1、中标人应出具一份完整、科学的整体布局方案（含平面布置图、效果图等），根据现场环境进行合理布局，满足功能需求的同时，保证整体美观性及人员使用的便捷性，方案最终须经采购人同意后方可实施。 2、本采购项目所要求的美化实施内容，中标人应当在合同签订后根据采购人要求进行方案的深化和细化处理，采购人有权根据各场室（地）实际需求情况并结合预算金额提出修改意见，经采购人初步确认后，由中标人出具施工图纸和工程量清单，并经采购人送审有关政府主管部门审定后，由中标人须严格按审定内容进行实施。中标人完成上述工作内容后，需出具竣工图纸及工程量清单，经采购人送审有关政府主管部门完成结算评审后，按结算评审价向中标人支付该部分的款项。</w:t>
            </w:r>
          </w:p>
        </w:tc>
      </w:tr>
      <w:tr>
        <w:tc>
          <w:tcPr>
            <w:tcW w:type="dxa" w:w="2076"/>
          </w:tcPr>
          <w:p>
            <w:pPr>
              <w:jc w:val="center"/>
            </w:pPr>
          </w:p>
        </w:tc>
        <w:tc>
          <w:tcPr>
            <w:tcW w:type="dxa" w:w="2076"/>
          </w:tcPr>
          <w:p>
            <w:pPr>
              <w:jc w:val="center"/>
            </w:pPr>
            <w:r>
              <w:rPr/>
              <w:t>7</w:t>
            </w:r>
          </w:p>
        </w:tc>
        <w:tc>
          <w:tcPr>
            <w:tcW w:type="dxa" w:w="2076"/>
          </w:tcPr>
          <w:p>
            <w:pPr>
              <w:jc w:val="left"/>
            </w:pPr>
            <w:r>
              <w:rPr/>
              <w:t>其他要求</w:t>
            </w:r>
          </w:p>
        </w:tc>
        <w:tc>
          <w:tcPr>
            <w:tcW w:type="dxa" w:w="2076"/>
          </w:tcPr>
          <w:p>
            <w:pPr>
              <w:jc w:val="left"/>
            </w:pPr>
            <w:r>
              <w:rPr/>
              <w:t>1、凡属于《中华人民共和国实施强制性产品认证的产品目录》的产品，请投标人在投标文件中承诺在交货时提供该产品的“中国强制性产品认证”（CCC认证）证书。（以提供承诺函形式响应该条款，承诺函格式自拟） 2、根据《关于印发节能产品政府采购品目清单的通知》（财库〔2019〕19号）的规定，凡属于《节能产品政府采购品目清单 》中以“★”标注的为政府强制采购产品，请投标人在投标文件中承诺在交货时提供该产品的“节能产品认证证书”。（以提供承诺函形式响应该条款，承诺函格式自拟） 3、根据（《出版管理条例》中华人民共和国国务院第343号令）、《出版物市场管理规定》（新闻出版总署第20号令）、《国务院关于取消和下放一批行政审批项目等事项的决定》（国发[2013]19号文）和《国务院关于取消和下放50项行政审批项目等事项的决定》（国发[2013]27号文）等规定，本采购项目中的“幼儿读物（含绘本）”及“幼教参考书”应当依法由持有有效的《中华人民共和国出版物经营许可证》单位提供。根据《政府采购货物和服务招标投标管理办法》第三十五条规定，本采购项目中的“幼儿读物（含绘本）”及“幼教参考书”属于“非主体、非关键性工作”，故若由投标人提供或其拟在中标后进行分包的，应当在其投标文件中载明分包承担主体，且同时提供承担主体的《中华人民共和国出版物经营许可证》复印件，并在合同履行过程中不得再次分包。</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教学仪器</w:t>
            </w:r>
          </w:p>
        </w:tc>
        <w:tc>
          <w:tcPr>
            <w:tcW w:type="dxa" w:w="831"/>
          </w:tcPr>
          <w:p>
            <w:pPr>
              <w:jc w:val="left"/>
            </w:pPr>
            <w:r>
              <w:rPr/>
              <w:t>其他设施设备采购</w:t>
            </w:r>
          </w:p>
        </w:tc>
        <w:tc>
          <w:tcPr>
            <w:tcW w:type="dxa" w:w="831"/>
          </w:tcPr>
          <w:p>
            <w:pPr>
              <w:jc w:val="left"/>
            </w:pPr>
            <w:r>
              <w:rPr/>
              <w:t>批</w:t>
            </w:r>
          </w:p>
        </w:tc>
        <w:tc>
          <w:tcPr>
            <w:tcW w:type="dxa" w:w="831"/>
          </w:tcPr>
          <w:p>
            <w:pPr>
              <w:jc w:val="right"/>
            </w:pPr>
            <w:r>
              <w:rPr/>
              <w:t>1.00</w:t>
            </w:r>
          </w:p>
        </w:tc>
        <w:tc>
          <w:tcPr>
            <w:tcW w:type="dxa" w:w="831"/>
          </w:tcPr>
          <w:p>
            <w:pPr>
              <w:jc w:val="right"/>
            </w:pPr>
            <w:r>
              <w:rPr/>
              <w:t>6,583,775.67</w:t>
            </w:r>
          </w:p>
        </w:tc>
        <w:tc>
          <w:tcPr>
            <w:tcW w:type="dxa" w:w="831"/>
          </w:tcPr>
          <w:p>
            <w:pPr>
              <w:jc w:val="right"/>
            </w:pPr>
            <w:r>
              <w:rPr/>
              <w:t>6,583,775.67</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教学仪器</w:t>
            </w:r>
          </w:p>
        </w:tc>
        <w:tc>
          <w:tcPr>
            <w:tcW w:type="dxa" w:w="831"/>
          </w:tcPr>
          <w:p>
            <w:pPr>
              <w:jc w:val="left"/>
            </w:pPr>
            <w:r>
              <w:rPr/>
              <w:t>交互智能平板</w:t>
            </w:r>
          </w:p>
        </w:tc>
        <w:tc>
          <w:tcPr>
            <w:tcW w:type="dxa" w:w="831"/>
          </w:tcPr>
          <w:p>
            <w:pPr>
              <w:jc w:val="left"/>
            </w:pPr>
            <w:r>
              <w:rPr/>
              <w:t>套</w:t>
            </w:r>
          </w:p>
        </w:tc>
        <w:tc>
          <w:tcPr>
            <w:tcW w:type="dxa" w:w="831"/>
          </w:tcPr>
          <w:p>
            <w:pPr>
              <w:jc w:val="right"/>
            </w:pPr>
            <w:r>
              <w:rPr/>
              <w:t>10.00</w:t>
            </w:r>
          </w:p>
        </w:tc>
        <w:tc>
          <w:tcPr>
            <w:tcW w:type="dxa" w:w="831"/>
          </w:tcPr>
          <w:p>
            <w:pPr>
              <w:jc w:val="right"/>
            </w:pPr>
            <w:r>
              <w:rPr/>
              <w:t>41,518.01</w:t>
            </w:r>
          </w:p>
        </w:tc>
        <w:tc>
          <w:tcPr>
            <w:tcW w:type="dxa" w:w="831"/>
          </w:tcPr>
          <w:p>
            <w:pPr>
              <w:jc w:val="right"/>
            </w:pPr>
            <w:r>
              <w:rPr/>
              <w:t>415,180.10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教学仪器</w:t>
            </w:r>
          </w:p>
        </w:tc>
        <w:tc>
          <w:tcPr>
            <w:tcW w:type="dxa" w:w="831"/>
          </w:tcPr>
          <w:p>
            <w:pPr>
              <w:jc w:val="left"/>
            </w:pPr>
            <w:r>
              <w:rPr/>
              <w:t>其他安装服务</w:t>
            </w:r>
          </w:p>
        </w:tc>
        <w:tc>
          <w:tcPr>
            <w:tcW w:type="dxa" w:w="831"/>
          </w:tcPr>
          <w:p>
            <w:pPr>
              <w:jc w:val="left"/>
            </w:pPr>
            <w:r>
              <w:rPr/>
              <w:t>项</w:t>
            </w:r>
          </w:p>
        </w:tc>
        <w:tc>
          <w:tcPr>
            <w:tcW w:type="dxa" w:w="831"/>
          </w:tcPr>
          <w:p>
            <w:pPr>
              <w:jc w:val="right"/>
            </w:pPr>
            <w:r>
              <w:rPr/>
              <w:t>1.00</w:t>
            </w:r>
          </w:p>
        </w:tc>
        <w:tc>
          <w:tcPr>
            <w:tcW w:type="dxa" w:w="831"/>
          </w:tcPr>
          <w:p>
            <w:pPr>
              <w:jc w:val="right"/>
            </w:pPr>
            <w:r>
              <w:rPr/>
              <w:t>782,390.00</w:t>
            </w:r>
          </w:p>
        </w:tc>
        <w:tc>
          <w:tcPr>
            <w:tcW w:type="dxa" w:w="831"/>
          </w:tcPr>
          <w:p>
            <w:pPr>
              <w:jc w:val="right"/>
            </w:pPr>
            <w:r>
              <w:rPr/>
              <w:t>782,390.00</w:t>
            </w:r>
          </w:p>
        </w:tc>
        <w:tc>
          <w:tcPr>
            <w:tcW w:type="dxa" w:w="831"/>
          </w:tcPr>
          <w:p>
            <w:r>
              <w:rPr/>
              <w:t>工业</w:t>
            </w:r>
          </w:p>
        </w:tc>
        <w:tc>
          <w:tcPr>
            <w:tcW w:type="dxa" w:w="831"/>
          </w:tcPr>
          <w:p>
            <w:r>
              <w:rPr/>
              <w:t>详见附表三</w:t>
            </w:r>
          </w:p>
        </w:tc>
      </w:tr>
    </w:tbl>
    <w:p/>
    <w:p>
      <w:r>
        <w:rPr>
          <w:b/>
        </w:rPr>
        <w:t>附表</w:t>
      </w:r>
      <w:r>
        <w:rPr>
          <w:b/>
        </w:rPr>
        <w:t>一</w:t>
      </w:r>
      <w:r>
        <w:rPr>
          <w:b/>
        </w:rPr>
        <w:t>：</w:t>
      </w:r>
      <w:r>
        <w:rPr>
          <w:b/>
        </w:rPr>
        <w:t>其他设施设备采购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详见</w:t>
            </w:r>
            <w:r>
              <w:rPr>
                <w:b/>
                <w:sz w:val="21"/>
              </w:rPr>
              <w:t>附件</w:t>
            </w:r>
            <w:r>
              <w:rPr>
                <w:b/>
                <w:sz w:val="21"/>
              </w:rPr>
              <w:t>《</w:t>
            </w:r>
            <w:r>
              <w:rPr>
                <w:b/>
                <w:sz w:val="21"/>
              </w:rPr>
              <w:t>兴宁市幼儿园及相关配套设施设备建设项目（中央商贸大道碧桂园幼儿园设施设备采购）</w:t>
            </w:r>
            <w:r>
              <w:rPr>
                <w:b/>
                <w:sz w:val="21"/>
              </w:rPr>
              <w:t>汇总清单》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交互智能平板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一、屏体硬件要求</w:t>
            </w:r>
          </w:p>
        </w:tc>
      </w:tr>
      <w:tr>
        <w:tc>
          <w:tcPr>
            <w:tcW w:type="dxa" w:w="2076"/>
          </w:tcPr>
          <w:p/>
        </w:tc>
        <w:tc>
          <w:tcPr>
            <w:tcW w:type="dxa" w:w="415"/>
          </w:tcPr>
          <w:p>
            <w:r>
              <w:rPr/>
              <w:t>2</w:t>
            </w:r>
          </w:p>
        </w:tc>
        <w:tc>
          <w:tcPr>
            <w:tcW w:type="dxa" w:w="5814"/>
          </w:tcPr>
          <w:p>
            <w:r>
              <w:rPr/>
              <w:t>1.整机前面板采用不小于75英寸的防眩光钢化玻璃材质，屏幕显示灰度分辨等级达到256及以上灰阶，保证画面显示效果细腻。画面显示比例16:9，分辨率不低于3840*2160，玻璃表面硬度≥9H。</w:t>
            </w:r>
          </w:p>
        </w:tc>
      </w:tr>
      <w:tr>
        <w:tc>
          <w:tcPr>
            <w:tcW w:type="dxa" w:w="2076"/>
          </w:tcPr>
          <w:p>
            <w:r>
              <w:rPr/>
              <w:t>▲</w:t>
            </w:r>
          </w:p>
        </w:tc>
        <w:tc>
          <w:tcPr>
            <w:tcW w:type="dxa" w:w="415"/>
          </w:tcPr>
          <w:p>
            <w:r>
              <w:rPr/>
              <w:t>3</w:t>
            </w:r>
          </w:p>
        </w:tc>
        <w:tc>
          <w:tcPr>
            <w:tcW w:type="dxa" w:w="5814"/>
          </w:tcPr>
          <w:p>
            <w:r>
              <w:rPr/>
              <w:t>2.整机内置扬声器采用缝隙发声技术，喇叭采用槽式开口设计，不大于5.8mm，整机前面板更加美观。</w:t>
            </w:r>
          </w:p>
        </w:tc>
      </w:tr>
      <w:tr>
        <w:tc>
          <w:tcPr>
            <w:tcW w:type="dxa" w:w="2076"/>
          </w:tcPr>
          <w:p/>
        </w:tc>
        <w:tc>
          <w:tcPr>
            <w:tcW w:type="dxa" w:w="415"/>
          </w:tcPr>
          <w:p>
            <w:r>
              <w:rPr/>
              <w:t>4</w:t>
            </w:r>
          </w:p>
        </w:tc>
        <w:tc>
          <w:tcPr>
            <w:tcW w:type="dxa" w:w="5814"/>
          </w:tcPr>
          <w:p>
            <w:r>
              <w:rPr/>
              <w:t>3.整机无需外接无线网卡，在Windows系统下可实现Wi-Fi无线上网连接、AP无线热点发射和BT蓝牙连接功能，Wi-Fi制式支持IEEE 802.11 a/b/g/n/ac/ax；支持版本Wi-Fi6，支持蓝牙Bluetooth 5.2标准，固件版本号HCI11.20/LMP11.20，保证手机与设备连接通畅。</w:t>
            </w:r>
          </w:p>
        </w:tc>
      </w:tr>
      <w:tr>
        <w:tc>
          <w:tcPr>
            <w:tcW w:type="dxa" w:w="2076"/>
          </w:tcPr>
          <w:p/>
        </w:tc>
        <w:tc>
          <w:tcPr>
            <w:tcW w:type="dxa" w:w="415"/>
          </w:tcPr>
          <w:p>
            <w:r>
              <w:rPr/>
              <w:t>5</w:t>
            </w:r>
          </w:p>
        </w:tc>
        <w:tc>
          <w:tcPr>
            <w:tcW w:type="dxa" w:w="5814"/>
          </w:tcPr>
          <w:p>
            <w:r>
              <w:rPr/>
              <w:t>4.机内置非独立外扩展的阵列麦克风，拾音孔数量≥4个，教室音频采集半径≥12米。</w:t>
            </w:r>
          </w:p>
        </w:tc>
      </w:tr>
      <w:tr>
        <w:tc>
          <w:tcPr>
            <w:tcW w:type="dxa" w:w="2076"/>
          </w:tcPr>
          <w:p>
            <w:r>
              <w:rPr/>
              <w:t>▲</w:t>
            </w:r>
          </w:p>
        </w:tc>
        <w:tc>
          <w:tcPr>
            <w:tcW w:type="dxa" w:w="415"/>
          </w:tcPr>
          <w:p>
            <w:r>
              <w:rPr/>
              <w:t>6</w:t>
            </w:r>
          </w:p>
        </w:tc>
        <w:tc>
          <w:tcPr>
            <w:tcW w:type="dxa" w:w="5814"/>
          </w:tcPr>
          <w:p>
            <w:r>
              <w:rPr/>
              <w:t>5.整机内置2.2声道扬声器，位于设备上边框，顶置朝前发声，2个前朝向高音扬声器≥10W，2个上朝向中低音扬声器≥20W，额定总功率≥60W。</w:t>
            </w:r>
          </w:p>
        </w:tc>
      </w:tr>
      <w:tr>
        <w:tc>
          <w:tcPr>
            <w:tcW w:type="dxa" w:w="2076"/>
          </w:tcPr>
          <w:p>
            <w:r>
              <w:rPr/>
              <w:t>▲</w:t>
            </w:r>
          </w:p>
        </w:tc>
        <w:tc>
          <w:tcPr>
            <w:tcW w:type="dxa" w:w="415"/>
          </w:tcPr>
          <w:p>
            <w:r>
              <w:rPr/>
              <w:t>7</w:t>
            </w:r>
          </w:p>
        </w:tc>
        <w:tc>
          <w:tcPr>
            <w:tcW w:type="dxa" w:w="5814"/>
          </w:tcPr>
          <w:p>
            <w:r>
              <w:rPr/>
              <w:t>6.整机具备至少6个前置按键，方便老师进行开机、关机、调出中控菜单、音量+、音量-、护眼、录屏操作。</w:t>
            </w:r>
          </w:p>
        </w:tc>
      </w:tr>
      <w:tr>
        <w:tc>
          <w:tcPr>
            <w:tcW w:type="dxa" w:w="2076"/>
          </w:tcPr>
          <w:p/>
        </w:tc>
        <w:tc>
          <w:tcPr>
            <w:tcW w:type="dxa" w:w="415"/>
          </w:tcPr>
          <w:p>
            <w:r>
              <w:rPr/>
              <w:t>8</w:t>
            </w:r>
          </w:p>
        </w:tc>
        <w:tc>
          <w:tcPr>
            <w:tcW w:type="dxa" w:w="5814"/>
          </w:tcPr>
          <w:p>
            <w:r>
              <w:rPr/>
              <w:t>7.内置摄像头、麦克风无需外接线材连接，无任何可见外接线材及模块化拼接痕迹，以确保音视频传输稳定且不占用整机设备端口，并避免整机上方具有突起的摄像头模块造成的安装不便。</w:t>
            </w:r>
          </w:p>
        </w:tc>
      </w:tr>
      <w:tr>
        <w:tc>
          <w:tcPr>
            <w:tcW w:type="dxa" w:w="2076"/>
          </w:tcPr>
          <w:p/>
        </w:tc>
        <w:tc>
          <w:tcPr>
            <w:tcW w:type="dxa" w:w="415"/>
          </w:tcPr>
          <w:p>
            <w:r>
              <w:rPr/>
              <w:t>9</w:t>
            </w:r>
          </w:p>
        </w:tc>
        <w:tc>
          <w:tcPr>
            <w:tcW w:type="dxa" w:w="5814"/>
          </w:tcPr>
          <w:p>
            <w:r>
              <w:rPr/>
              <w:t>8.前置Type-C接口，支持通过不带转换装置的外部 线缆，实现外接电脑HDMI信号的接入显示，设备支持通过Type-C接口U盘进行文件传输，兼容手机充电。</w:t>
            </w:r>
          </w:p>
        </w:tc>
      </w:tr>
      <w:tr>
        <w:tc>
          <w:tcPr>
            <w:tcW w:type="dxa" w:w="2076"/>
          </w:tcPr>
          <w:p/>
        </w:tc>
        <w:tc>
          <w:tcPr>
            <w:tcW w:type="dxa" w:w="415"/>
          </w:tcPr>
          <w:p>
            <w:r>
              <w:rPr/>
              <w:t>10</w:t>
            </w:r>
          </w:p>
        </w:tc>
        <w:tc>
          <w:tcPr>
            <w:tcW w:type="dxa" w:w="5814"/>
          </w:tcPr>
          <w:p>
            <w:r>
              <w:rPr/>
              <w:t>9.整机采用全金属外壳设计，有效屏蔽内部电路器件辐射；防潮耐盐雾蚀锈，适应多种教学环境。</w:t>
            </w:r>
          </w:p>
        </w:tc>
      </w:tr>
      <w:tr>
        <w:tc>
          <w:tcPr>
            <w:tcW w:type="dxa" w:w="2076"/>
          </w:tcPr>
          <w:p/>
        </w:tc>
        <w:tc>
          <w:tcPr>
            <w:tcW w:type="dxa" w:w="415"/>
          </w:tcPr>
          <w:p>
            <w:r>
              <w:rPr/>
              <w:t>11</w:t>
            </w:r>
          </w:p>
        </w:tc>
        <w:tc>
          <w:tcPr>
            <w:tcW w:type="dxa" w:w="5814"/>
          </w:tcPr>
          <w:p>
            <w:r>
              <w:rPr/>
              <w:t>二、系统内置功能</w:t>
            </w:r>
          </w:p>
        </w:tc>
      </w:tr>
      <w:tr>
        <w:tc>
          <w:tcPr>
            <w:tcW w:type="dxa" w:w="2076"/>
          </w:tcPr>
          <w:p>
            <w:r>
              <w:rPr/>
              <w:t>▲</w:t>
            </w:r>
          </w:p>
        </w:tc>
        <w:tc>
          <w:tcPr>
            <w:tcW w:type="dxa" w:w="415"/>
          </w:tcPr>
          <w:p>
            <w:r>
              <w:rPr/>
              <w:t>12</w:t>
            </w:r>
          </w:p>
        </w:tc>
        <w:tc>
          <w:tcPr>
            <w:tcW w:type="dxa" w:w="5814"/>
          </w:tcPr>
          <w:p>
            <w:r>
              <w:rPr/>
              <w:t>1.整机支持纸质护眼模式，可以在任意通道任意画面任意软件所有显示内容下实现画面纹理的实时调整；支持纸质纹理：牛皮纸、素描纸、宣纸、水彩纸、水纹纸；支持透明度调节；支持色温调节。</w:t>
            </w:r>
          </w:p>
        </w:tc>
      </w:tr>
      <w:tr>
        <w:tc>
          <w:tcPr>
            <w:tcW w:type="dxa" w:w="2076"/>
          </w:tcPr>
          <w:p>
            <w:r>
              <w:rPr/>
              <w:t>▲</w:t>
            </w:r>
          </w:p>
        </w:tc>
        <w:tc>
          <w:tcPr>
            <w:tcW w:type="dxa" w:w="415"/>
          </w:tcPr>
          <w:p>
            <w:r>
              <w:rPr/>
              <w:t>13</w:t>
            </w:r>
          </w:p>
        </w:tc>
        <w:tc>
          <w:tcPr>
            <w:tcW w:type="dxa" w:w="5814"/>
          </w:tcPr>
          <w:p>
            <w:r>
              <w:rPr/>
              <w:t>2.整机内置非独立外扩展的摄像头，拍摄照片像素数≥1300万，摄像头视场角≥135度，用于教师拍摄所需画面以及调取摄像头进行远程巡课，拍摄范围可以涵盖整机距离摄像头垂直法线左右水平距离各不小于4米，左右最边缘深度不小于2.3米范围内，并且支持大于等于10米距离时实现AI识别人像。</w:t>
            </w:r>
          </w:p>
        </w:tc>
      </w:tr>
      <w:tr>
        <w:tc>
          <w:tcPr>
            <w:tcW w:type="dxa" w:w="2076"/>
          </w:tcPr>
          <w:p/>
        </w:tc>
        <w:tc>
          <w:tcPr>
            <w:tcW w:type="dxa" w:w="415"/>
          </w:tcPr>
          <w:p>
            <w:r>
              <w:rPr/>
              <w:t>14</w:t>
            </w:r>
          </w:p>
        </w:tc>
        <w:tc>
          <w:tcPr>
            <w:tcW w:type="dxa" w:w="5814"/>
          </w:tcPr>
          <w:p>
            <w:r>
              <w:rPr/>
              <w:t>3.支持将自定义图片设置为开机画面。</w:t>
            </w:r>
          </w:p>
        </w:tc>
      </w:tr>
      <w:tr>
        <w:tc>
          <w:tcPr>
            <w:tcW w:type="dxa" w:w="2076"/>
          </w:tcPr>
          <w:p/>
        </w:tc>
        <w:tc>
          <w:tcPr>
            <w:tcW w:type="dxa" w:w="415"/>
          </w:tcPr>
          <w:p>
            <w:r>
              <w:rPr/>
              <w:t>15</w:t>
            </w:r>
          </w:p>
        </w:tc>
        <w:tc>
          <w:tcPr>
            <w:tcW w:type="dxa" w:w="5814"/>
          </w:tcPr>
          <w:p>
            <w:r>
              <w:rPr/>
              <w:t>4.整机设备支持统一互通的用户身份认证服务，账号登录后，打开教学白板软件、学生行为评价软件的教学应用工具时无需再次输入账号密码重复登录。</w:t>
            </w:r>
          </w:p>
        </w:tc>
      </w:tr>
      <w:tr>
        <w:tc>
          <w:tcPr>
            <w:tcW w:type="dxa" w:w="2076"/>
          </w:tcPr>
          <w:p/>
        </w:tc>
        <w:tc>
          <w:tcPr>
            <w:tcW w:type="dxa" w:w="415"/>
          </w:tcPr>
          <w:p>
            <w:r>
              <w:rPr/>
              <w:t>16</w:t>
            </w:r>
          </w:p>
        </w:tc>
        <w:tc>
          <w:tcPr>
            <w:tcW w:type="dxa" w:w="5814"/>
          </w:tcPr>
          <w:p>
            <w:r>
              <w:rPr/>
              <w:t>5.整机设备开机启动后，自动进入教学桌面，支持账号登录、退出，自动获取个人云端教学课件列表、并可进入校本资源库。</w:t>
            </w:r>
          </w:p>
        </w:tc>
      </w:tr>
      <w:tr>
        <w:tc>
          <w:tcPr>
            <w:tcW w:type="dxa" w:w="2076"/>
          </w:tcPr>
          <w:p/>
        </w:tc>
        <w:tc>
          <w:tcPr>
            <w:tcW w:type="dxa" w:w="415"/>
          </w:tcPr>
          <w:p>
            <w:r>
              <w:rPr/>
              <w:t>17</w:t>
            </w:r>
          </w:p>
        </w:tc>
        <w:tc>
          <w:tcPr>
            <w:tcW w:type="dxa" w:w="5814"/>
          </w:tcPr>
          <w:p>
            <w:r>
              <w:rPr/>
              <w:t>6.具备摄像头工作指示灯，摄像头运行时，有指示灯提示，以此保障师生隐私安全及课堂的流畅性。</w:t>
            </w:r>
          </w:p>
        </w:tc>
      </w:tr>
      <w:tr>
        <w:tc>
          <w:tcPr>
            <w:tcW w:type="dxa" w:w="2076"/>
          </w:tcPr>
          <w:p>
            <w:r>
              <w:rPr/>
              <w:t>▲</w:t>
            </w:r>
          </w:p>
        </w:tc>
        <w:tc>
          <w:tcPr>
            <w:tcW w:type="dxa" w:w="415"/>
          </w:tcPr>
          <w:p>
            <w:r>
              <w:rPr/>
              <w:t>18</w:t>
            </w:r>
          </w:p>
        </w:tc>
        <w:tc>
          <w:tcPr>
            <w:tcW w:type="dxa" w:w="5814"/>
          </w:tcPr>
          <w:p>
            <w:r>
              <w:rPr/>
              <w:t>7.外接电脑设备通过双头Type-C数据线连接至整机，可调用整机内置的摄像头、麦克风、扬声器，可在外接电脑上控制整机拍摄教室画面。</w:t>
            </w:r>
          </w:p>
        </w:tc>
      </w:tr>
      <w:tr>
        <w:tc>
          <w:tcPr>
            <w:tcW w:type="dxa" w:w="2076"/>
          </w:tcPr>
          <w:p/>
        </w:tc>
        <w:tc>
          <w:tcPr>
            <w:tcW w:type="dxa" w:w="415"/>
          </w:tcPr>
          <w:p>
            <w:r>
              <w:rPr/>
              <w:t>19</w:t>
            </w:r>
          </w:p>
        </w:tc>
        <w:tc>
          <w:tcPr>
            <w:tcW w:type="dxa" w:w="5814"/>
          </w:tcPr>
          <w:p>
            <w:r>
              <w:rPr/>
              <w:t>8.整机内置专业硬件自检维护工具（不接受第三方工具），支持对触摸框、PC模块等模块进行检测，并针对不同模块给出问题原因提示，以支持老师快速的解决问题。</w:t>
            </w:r>
          </w:p>
        </w:tc>
      </w:tr>
      <w:tr>
        <w:tc>
          <w:tcPr>
            <w:tcW w:type="dxa" w:w="2076"/>
          </w:tcPr>
          <w:p/>
        </w:tc>
        <w:tc>
          <w:tcPr>
            <w:tcW w:type="dxa" w:w="415"/>
          </w:tcPr>
          <w:p>
            <w:r>
              <w:rPr/>
              <w:t>20</w:t>
            </w:r>
          </w:p>
        </w:tc>
        <w:tc>
          <w:tcPr>
            <w:tcW w:type="dxa" w:w="5814"/>
          </w:tcPr>
          <w:p>
            <w:r>
              <w:rPr/>
              <w:t>9.当外接电脑设备连接整机且触摸信号连通时，外接电脑设备可直接使用连接整机前置USB端口的翻页笔和无线键鼠，可直接读取整机前置USB接口的移动存储设备数据。</w:t>
            </w:r>
          </w:p>
        </w:tc>
      </w:tr>
      <w:tr>
        <w:tc>
          <w:tcPr>
            <w:tcW w:type="dxa" w:w="2076"/>
          </w:tcPr>
          <w:p/>
        </w:tc>
        <w:tc>
          <w:tcPr>
            <w:tcW w:type="dxa" w:w="415"/>
          </w:tcPr>
          <w:p>
            <w:r>
              <w:rPr/>
              <w:t>21</w:t>
            </w:r>
          </w:p>
        </w:tc>
        <w:tc>
          <w:tcPr>
            <w:tcW w:type="dxa" w:w="5814"/>
          </w:tcPr>
          <w:p>
            <w:r>
              <w:rPr/>
              <w:t>10.整机全通道侧边栏支持在任意通道、页面使用批注小工具进行批注讲解，可切换书写笔颜色、截屏保存批注内容、快速清屏，可根据手与屏幕的接触面积自动调整板擦工具的大小。</w:t>
            </w:r>
          </w:p>
        </w:tc>
      </w:tr>
      <w:tr>
        <w:tc>
          <w:tcPr>
            <w:tcW w:type="dxa" w:w="2076"/>
          </w:tcPr>
          <w:p/>
        </w:tc>
        <w:tc>
          <w:tcPr>
            <w:tcW w:type="dxa" w:w="415"/>
          </w:tcPr>
          <w:p>
            <w:r>
              <w:rPr/>
              <w:t>22</w:t>
            </w:r>
          </w:p>
        </w:tc>
        <w:tc>
          <w:tcPr>
            <w:tcW w:type="dxa" w:w="5814"/>
          </w:tcPr>
          <w:p>
            <w:r>
              <w:rPr/>
              <w:t>三、插拔式OPS模块</w:t>
            </w:r>
          </w:p>
        </w:tc>
      </w:tr>
      <w:tr>
        <w:tc>
          <w:tcPr>
            <w:tcW w:type="dxa" w:w="2076"/>
          </w:tcPr>
          <w:p/>
        </w:tc>
        <w:tc>
          <w:tcPr>
            <w:tcW w:type="dxa" w:w="415"/>
          </w:tcPr>
          <w:p>
            <w:r>
              <w:rPr/>
              <w:t>23</w:t>
            </w:r>
          </w:p>
        </w:tc>
        <w:tc>
          <w:tcPr>
            <w:tcW w:type="dxa" w:w="5814"/>
          </w:tcPr>
          <w:p>
            <w:r>
              <w:rPr/>
              <w:t>1.主板采用H410芯片组，搭载 i5 CPU或以上配置；内存：8GB DDR4笔记本内存或以上配置；硬盘：256GB或以上SSD固态硬盘。</w:t>
            </w:r>
          </w:p>
        </w:tc>
      </w:tr>
      <w:tr>
        <w:tc>
          <w:tcPr>
            <w:tcW w:type="dxa" w:w="2076"/>
          </w:tcPr>
          <w:p/>
        </w:tc>
        <w:tc>
          <w:tcPr>
            <w:tcW w:type="dxa" w:w="415"/>
          </w:tcPr>
          <w:p>
            <w:r>
              <w:rPr/>
              <w:t>24</w:t>
            </w:r>
          </w:p>
        </w:tc>
        <w:tc>
          <w:tcPr>
            <w:tcW w:type="dxa" w:w="5814"/>
          </w:tcPr>
          <w:p>
            <w:r>
              <w:rPr/>
              <w:t>2.模块机身采用热浸镀锌金属材质，采用智能风扇低噪音散热设计,模块主体尺寸≥22cm*17cm*3cm，以预留足够散热空间，确保封闭空间内有效散热。</w:t>
            </w:r>
          </w:p>
        </w:tc>
      </w:tr>
      <w:tr>
        <w:tc>
          <w:tcPr>
            <w:tcW w:type="dxa" w:w="2076"/>
          </w:tcPr>
          <w:p>
            <w:r>
              <w:rPr/>
              <w:t>▲</w:t>
            </w:r>
          </w:p>
        </w:tc>
        <w:tc>
          <w:tcPr>
            <w:tcW w:type="dxa" w:w="415"/>
          </w:tcPr>
          <w:p>
            <w:r>
              <w:rPr/>
              <w:t>25</w:t>
            </w:r>
          </w:p>
        </w:tc>
        <w:tc>
          <w:tcPr>
            <w:tcW w:type="dxa" w:w="5814"/>
          </w:tcPr>
          <w:p>
            <w:r>
              <w:rPr/>
              <w:t>3.采用插拔式OPS模块，具有按压式卡扣，确保PC模块安装固定到位，同时无需工具就可快速拆卸OPS模块。采用针脚数小于等于40 pin万兆级接口，传输速率≥10Gbps。</w:t>
            </w:r>
          </w:p>
        </w:tc>
      </w:tr>
      <w:tr>
        <w:tc>
          <w:tcPr>
            <w:tcW w:type="dxa" w:w="2076"/>
          </w:tcPr>
          <w:p/>
        </w:tc>
        <w:tc>
          <w:tcPr>
            <w:tcW w:type="dxa" w:w="415"/>
          </w:tcPr>
          <w:p>
            <w:r>
              <w:rPr/>
              <w:t>26</w:t>
            </w:r>
          </w:p>
        </w:tc>
        <w:tc>
          <w:tcPr>
            <w:tcW w:type="dxa" w:w="5814"/>
          </w:tcPr>
          <w:p>
            <w:r>
              <w:rPr/>
              <w:t>4.PC模块的USB接口须为冗余备份接口，在正常使用整机的内置摄像头、内置麦克风功能时，USB接口不被占用，确保教师有足够的接口外接存储设备及显示设备。</w:t>
            </w:r>
          </w:p>
        </w:tc>
      </w:tr>
      <w:tr>
        <w:tc>
          <w:tcPr>
            <w:tcW w:type="dxa" w:w="2076"/>
          </w:tcPr>
          <w:p/>
        </w:tc>
        <w:tc>
          <w:tcPr>
            <w:tcW w:type="dxa" w:w="415"/>
          </w:tcPr>
          <w:p>
            <w:r>
              <w:rPr/>
              <w:t>27</w:t>
            </w:r>
          </w:p>
        </w:tc>
        <w:tc>
          <w:tcPr>
            <w:tcW w:type="dxa" w:w="5814"/>
          </w:tcPr>
          <w:p>
            <w:r>
              <w:rPr/>
              <w:t>5.具有独立非外扩展的视频输出接口：≥1路HDMI。具有独立非外扩展的电脑USB接口：≥3路USB。</w:t>
            </w:r>
          </w:p>
        </w:tc>
      </w:tr>
      <w:tr>
        <w:tc>
          <w:tcPr>
            <w:tcW w:type="dxa" w:w="2076"/>
          </w:tcPr>
          <w:p/>
        </w:tc>
        <w:tc>
          <w:tcPr>
            <w:tcW w:type="dxa" w:w="415"/>
          </w:tcPr>
          <w:p>
            <w:r>
              <w:rPr/>
              <w:t>28</w:t>
            </w:r>
          </w:p>
        </w:tc>
        <w:tc>
          <w:tcPr>
            <w:tcW w:type="dxa" w:w="5814"/>
          </w:tcPr>
          <w:p>
            <w:r>
              <w:rPr/>
              <w:t>6.具有标准PC防盗锁孔，防止PC模块被盗。</w:t>
            </w:r>
          </w:p>
        </w:tc>
      </w:tr>
      <w:tr>
        <w:tc>
          <w:tcPr>
            <w:tcW w:type="dxa" w:w="2076"/>
          </w:tcPr>
          <w:p/>
        </w:tc>
        <w:tc>
          <w:tcPr>
            <w:tcW w:type="dxa" w:w="415"/>
          </w:tcPr>
          <w:p>
            <w:r>
              <w:rPr/>
              <w:t>29</w:t>
            </w:r>
          </w:p>
        </w:tc>
        <w:tc>
          <w:tcPr>
            <w:tcW w:type="dxa" w:w="5814"/>
          </w:tcPr>
          <w:p>
            <w:r>
              <w:rPr/>
              <w:t>四、远程运维管理：</w:t>
            </w:r>
          </w:p>
        </w:tc>
      </w:tr>
      <w:tr>
        <w:tc>
          <w:tcPr>
            <w:tcW w:type="dxa" w:w="2076"/>
          </w:tcPr>
          <w:p/>
        </w:tc>
        <w:tc>
          <w:tcPr>
            <w:tcW w:type="dxa" w:w="415"/>
          </w:tcPr>
          <w:p>
            <w:r>
              <w:rPr/>
              <w:t>30</w:t>
            </w:r>
          </w:p>
        </w:tc>
        <w:tc>
          <w:tcPr>
            <w:tcW w:type="dxa" w:w="5814"/>
          </w:tcPr>
          <w:p>
            <w:r>
              <w:rPr/>
              <w:t>1.系统基于SaaS布局，应用界面采用B/S架构设计，支持学校管理员在Windows、Linux、Android、IOS等多种不同的操作系统上通过网页浏览器登录进行所有管理指令操作。</w:t>
            </w:r>
          </w:p>
        </w:tc>
      </w:tr>
      <w:tr>
        <w:tc>
          <w:tcPr>
            <w:tcW w:type="dxa" w:w="2076"/>
          </w:tcPr>
          <w:p>
            <w:r>
              <w:rPr/>
              <w:t>▲</w:t>
            </w:r>
          </w:p>
        </w:tc>
        <w:tc>
          <w:tcPr>
            <w:tcW w:type="dxa" w:w="415"/>
          </w:tcPr>
          <w:p>
            <w:r>
              <w:rPr/>
              <w:t>31</w:t>
            </w:r>
          </w:p>
        </w:tc>
        <w:tc>
          <w:tcPr>
            <w:tcW w:type="dxa" w:w="5814"/>
          </w:tcPr>
          <w:p>
            <w:r>
              <w:rPr/>
              <w:t>2.批量关联：支持通过设备辅助管理软件，在单台班班通设备关联学校代码后，自动发现并关联同网段下其他班班通设备。</w:t>
            </w:r>
          </w:p>
        </w:tc>
      </w:tr>
      <w:tr>
        <w:tc>
          <w:tcPr>
            <w:tcW w:type="dxa" w:w="2076"/>
          </w:tcPr>
          <w:p>
            <w:r>
              <w:rPr/>
              <w:t>▲</w:t>
            </w:r>
          </w:p>
        </w:tc>
        <w:tc>
          <w:tcPr>
            <w:tcW w:type="dxa" w:w="415"/>
          </w:tcPr>
          <w:p>
            <w:r>
              <w:rPr/>
              <w:t>32</w:t>
            </w:r>
          </w:p>
        </w:tc>
        <w:tc>
          <w:tcPr>
            <w:tcW w:type="dxa" w:w="5814"/>
          </w:tcPr>
          <w:p>
            <w:r>
              <w:rPr/>
              <w:t>3.领导视窗：支持同时查看9教室的实时摄像头画面、设备屏幕画面；并支持在一个显示界面同时查看单个教室内所有屏幕、所有摄像头的实时画面，以及所有麦克风的声音，完整还原课堂全貌。其中摄像头画面可直接使用班班通自带摄像头，无需额外购置，方便且实惠。单台设备巡视时，发现有违规违纪行为时，可远程发消息、发语音直接干预，也可记录备注，事后教育；支持记录所有管理员的巡视记录，方便回溯。</w:t>
            </w:r>
          </w:p>
        </w:tc>
      </w:tr>
      <w:tr>
        <w:tc>
          <w:tcPr>
            <w:tcW w:type="dxa" w:w="2076"/>
          </w:tcPr>
          <w:p/>
        </w:tc>
        <w:tc>
          <w:tcPr>
            <w:tcW w:type="dxa" w:w="415"/>
          </w:tcPr>
          <w:p>
            <w:r>
              <w:rPr/>
              <w:t>33</w:t>
            </w:r>
          </w:p>
        </w:tc>
        <w:tc>
          <w:tcPr>
            <w:tcW w:type="dxa" w:w="5814"/>
          </w:tcPr>
          <w:p>
            <w:r>
              <w:rPr/>
              <w:t>4.支持查看设备当前使用老师信息，以及最近一次设备解锁时间、解锁方式、解锁老师，实时了解班班通设备教学应用情况。</w:t>
            </w:r>
          </w:p>
        </w:tc>
      </w:tr>
      <w:tr>
        <w:tc>
          <w:tcPr>
            <w:tcW w:type="dxa" w:w="2076"/>
          </w:tcPr>
          <w:p/>
        </w:tc>
        <w:tc>
          <w:tcPr>
            <w:tcW w:type="dxa" w:w="415"/>
          </w:tcPr>
          <w:p>
            <w:r>
              <w:rPr/>
              <w:t>34</w:t>
            </w:r>
          </w:p>
        </w:tc>
        <w:tc>
          <w:tcPr>
            <w:tcW w:type="dxa" w:w="5814"/>
          </w:tcPr>
          <w:p>
            <w:r>
              <w:rPr/>
              <w:t>5.分组管理：支持根据设备类型、设备所属年级/场地/自定义分组、设备开关机状态进行分组管理；支持文字检索设备名称，快速定位对应设备进行定向精准管理。</w:t>
            </w:r>
          </w:p>
        </w:tc>
      </w:tr>
      <w:tr>
        <w:tc>
          <w:tcPr>
            <w:tcW w:type="dxa" w:w="2076"/>
          </w:tcPr>
          <w:p/>
        </w:tc>
        <w:tc>
          <w:tcPr>
            <w:tcW w:type="dxa" w:w="415"/>
          </w:tcPr>
          <w:p>
            <w:r>
              <w:rPr/>
              <w:t>35</w:t>
            </w:r>
          </w:p>
        </w:tc>
        <w:tc>
          <w:tcPr>
            <w:tcW w:type="dxa" w:w="5814"/>
          </w:tcPr>
          <w:p>
            <w:r>
              <w:rPr/>
              <w:t>6.详情管理：支持查看单台设备的当日开机次数、开机时间分布情况、软件使用时长top3、内存/硬盘占用情况、基础参数；并支持远程修改设备关联信息。</w:t>
            </w:r>
          </w:p>
        </w:tc>
      </w:tr>
      <w:tr>
        <w:tc>
          <w:tcPr>
            <w:tcW w:type="dxa" w:w="2076"/>
          </w:tcPr>
          <w:p>
            <w:r>
              <w:rPr/>
              <w:t>▲</w:t>
            </w:r>
          </w:p>
        </w:tc>
        <w:tc>
          <w:tcPr>
            <w:tcW w:type="dxa" w:w="415"/>
          </w:tcPr>
          <w:p>
            <w:r>
              <w:rPr/>
              <w:t>36</w:t>
            </w:r>
          </w:p>
        </w:tc>
        <w:tc>
          <w:tcPr>
            <w:tcW w:type="dxa" w:w="5814"/>
          </w:tcPr>
          <w:p>
            <w:r>
              <w:rPr/>
              <w:t>7.多场景锁屏：支持一键下课锁屏、开机自动锁屏、无网络时验证身份解锁。其中“下课锁屏”功能开启后，老师授课结束后可在班班通设备上点击“下课锁屏”按钮即可锁屏，保证班班通设备的使用秩序；其中“开机自动锁屏”可根据用户实际管理习惯，灵活设置不同分组的设备，开机后自动锁屏，以便于学校不同年级间分段管理；设备锁屏后，支持无网络情况下，使用者通过手机微信扫一扫验证身份后获取唯一临时解锁密码进行解锁使用，以防止设备被学生违规使用，影响设备性能。</w:t>
            </w:r>
          </w:p>
        </w:tc>
      </w:tr>
      <w:tr>
        <w:tc>
          <w:tcPr>
            <w:tcW w:type="dxa" w:w="2076"/>
          </w:tcPr>
          <w:p/>
        </w:tc>
        <w:tc>
          <w:tcPr>
            <w:tcW w:type="dxa" w:w="415"/>
          </w:tcPr>
          <w:p>
            <w:r>
              <w:rPr/>
              <w:t>37</w:t>
            </w:r>
          </w:p>
        </w:tc>
        <w:tc>
          <w:tcPr>
            <w:tcW w:type="dxa" w:w="5814"/>
          </w:tcPr>
          <w:p>
            <w:r>
              <w:rPr/>
              <w:t>8.循环指令：支持设置即时、定时、循环模式的关机、重启、打铃、锁屏/解锁指令。其中打铃指令支持上传自定义铃声、设置播放时长；</w:t>
            </w:r>
          </w:p>
        </w:tc>
      </w:tr>
      <w:tr>
        <w:tc>
          <w:tcPr>
            <w:tcW w:type="dxa" w:w="2076"/>
          </w:tcPr>
          <w:p>
            <w:r>
              <w:rPr/>
              <w:t>▲</w:t>
            </w:r>
          </w:p>
        </w:tc>
        <w:tc>
          <w:tcPr>
            <w:tcW w:type="dxa" w:w="415"/>
          </w:tcPr>
          <w:p>
            <w:r>
              <w:rPr/>
              <w:t>38</w:t>
            </w:r>
          </w:p>
        </w:tc>
        <w:tc>
          <w:tcPr>
            <w:tcW w:type="dxa" w:w="5814"/>
          </w:tcPr>
          <w:p>
            <w:r>
              <w:rPr/>
              <w:t>9.冰点穿透：支持远程向已冰冻的设备发送指令、安装软件、传输大文件，设备接收到后会立即执行，并在设备正常关机时触发穿透动作，穿透完成后，设备即可永久性使用已安装软件、已传输文件、执行已接收指令，且穿透过程中无需人为解冻。</w:t>
            </w:r>
          </w:p>
        </w:tc>
      </w:tr>
      <w:tr>
        <w:tc>
          <w:tcPr>
            <w:tcW w:type="dxa" w:w="2076"/>
          </w:tcPr>
          <w:p>
            <w:r>
              <w:rPr/>
              <w:t>▲</w:t>
            </w:r>
          </w:p>
        </w:tc>
        <w:tc>
          <w:tcPr>
            <w:tcW w:type="dxa" w:w="415"/>
          </w:tcPr>
          <w:p>
            <w:r>
              <w:rPr/>
              <w:t>39</w:t>
            </w:r>
          </w:p>
        </w:tc>
        <w:tc>
          <w:tcPr>
            <w:tcW w:type="dxa" w:w="5814"/>
          </w:tcPr>
          <w:p>
            <w:r>
              <w:rPr/>
              <w:t>10.冰点还原：支持远程批量设置设备的冰冻状态；支持实时监测设备冰点存在的风险，并提供对应解决方案。</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其他安装服务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详见</w:t>
            </w:r>
            <w:r>
              <w:rPr>
                <w:b/>
                <w:sz w:val="21"/>
              </w:rPr>
              <w:t>附件</w:t>
            </w:r>
            <w:r>
              <w:rPr>
                <w:b/>
                <w:sz w:val="21"/>
              </w:rPr>
              <w:t>《</w:t>
            </w:r>
            <w:r>
              <w:rPr>
                <w:b/>
                <w:sz w:val="21"/>
              </w:rPr>
              <w:t>兴宁市幼儿园及相关配套设施设备建设项目（中央商贸大道碧桂园幼儿园设施设备采购）</w:t>
            </w:r>
            <w:r>
              <w:rPr>
                <w:b/>
                <w:sz w:val="21"/>
              </w:rPr>
              <w:t>汇总清单》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1.采购代理机构：本项目是指广东协作项目管理有限公司，负责整个采购活动的组织，依法负责编制和发布招标文件，对招标文件拥有最终的解释权，不以任何身份出任评标委员会成员。</w:t>
      </w:r>
    </w:p>
    <w:p>
      <w:pPr>
        <w:ind w:firstLine="480"/>
      </w:pPr>
      <w:r>
        <w:rPr/>
        <w:t>2.采购人：本项目是指</w:t>
      </w:r>
      <w:r>
        <w:rPr/>
        <w:t>兴宁市教育局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采购包1：保证金人民币：80,000.00元整。</w:t>
            </w:r>
          </w:p>
          <w:p>
            <w:r>
              <w:rPr/>
              <w:t>开户单位：</w:t>
            </w:r>
            <w:r>
              <w:rPr/>
              <w:t>广东协作项目管理有限公司</w:t>
            </w:r>
          </w:p>
          <w:p>
            <w:r>
              <w:rPr/>
              <w:t>开户账号：</w:t>
            </w:r>
            <w:r>
              <w:rPr/>
              <w:t>638010100100144378</w:t>
            </w:r>
          </w:p>
          <w:p>
            <w:r>
              <w:rPr/>
              <w:t>开户银行：</w:t>
            </w:r>
            <w:r>
              <w:rPr/>
              <w:t>梅州客商银行股份有限公司</w:t>
            </w:r>
          </w:p>
          <w:p>
            <w:r>
              <w:rPr/>
              <w:t>支票提交方式：</w:t>
            </w:r>
            <w:r>
              <w:rPr/>
              <w:t>线下递交</w:t>
            </w:r>
          </w:p>
          <w:p>
            <w:r>
              <w:rPr/>
              <w:t>汇票、本票提交方式：</w:t>
            </w:r>
            <w:r>
              <w:rPr/>
              <w:t>线下递交</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采购机构代理服务收费标准：参照国家计委（计价格[2002]1980号）及发改办价格[2003]857号文件执行收取。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；请各投标人在投标文件递交截止时间前按须知前附表规定的金额递交至</w:t>
      </w:r>
      <w:r>
        <w:rPr/>
        <w:t>广东协作项目管理有限公司</w:t>
      </w:r>
      <w:r>
        <w:rPr/>
        <w:t>，到账情况以开标时</w:t>
      </w:r>
      <w:r>
        <w:rPr/>
        <w:t>广东协作项目管理有限公司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http://www.gdxzchina.com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http://www.gdxzchina.com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肖工</w:t>
      </w:r>
    </w:p>
    <w:p>
      <w:pPr>
        <w:ind w:firstLine="480"/>
      </w:pPr>
      <w:r>
        <w:rPr/>
        <w:t>电话：</w:t>
      </w:r>
      <w:r>
        <w:rPr/>
        <w:t>0753-2501516</w:t>
      </w:r>
    </w:p>
    <w:p>
      <w:pPr>
        <w:ind w:firstLine="480"/>
      </w:pPr>
      <w:r>
        <w:rPr/>
        <w:t>传真：</w:t>
      </w:r>
      <w:r>
        <w:rPr/>
        <w:t>0753-2501516</w:t>
      </w:r>
    </w:p>
    <w:p>
      <w:pPr>
        <w:ind w:firstLine="480"/>
      </w:pPr>
      <w:r>
        <w:rPr/>
        <w:t>邮箱：</w:t>
      </w:r>
      <w:r>
        <w:rPr/>
        <w:t>gdxz2501516@163.com</w:t>
      </w:r>
    </w:p>
    <w:p>
      <w:pPr>
        <w:ind w:firstLine="480"/>
      </w:pPr>
      <w:r>
        <w:rPr/>
        <w:t>地址：</w:t>
      </w:r>
      <w:r>
        <w:rPr/>
        <w:t>梅州市梅县区新县城新兴路百福豪园63号</w:t>
      </w:r>
    </w:p>
    <w:p>
      <w:pPr>
        <w:ind w:firstLine="480"/>
      </w:pPr>
      <w:r>
        <w:rPr/>
        <w:t>邮编：</w:t>
      </w:r>
      <w:r>
        <w:rPr/>
        <w:t>514700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政府采购监督管理机构名称：兴宁市财政局政府采购监管股</w:t>
      </w:r>
    </w:p>
    <w:p>
      <w:r>
        <w:rPr/>
        <w:t>地  址：兴宁市兴南大道中380号财政大厦</w:t>
      </w:r>
    </w:p>
    <w:p>
      <w:r>
        <w:rPr/>
        <w:t>电  话：0753-3263280</w:t>
      </w:r>
    </w:p>
    <w:p>
      <w:r>
        <w:rPr/>
        <w:t>邮  编：514500</w:t>
      </w:r>
    </w:p>
    <w:p>
      <w:r>
        <w:rPr/>
        <w:t>传  真：0753-3263280</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央商贸大道碧桂园幼儿园设施设备)：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广东协作项目管理有限公司</w:t>
      </w:r>
      <w:r>
        <w:rPr/>
        <w:t>统一对外发布。</w:t>
      </w:r>
    </w:p>
    <w:p>
      <w:pPr>
        <w:ind w:firstLine="480"/>
      </w:pPr>
      <w:r>
        <w:rPr/>
        <w:t>（2）对</w:t>
      </w:r>
      <w:r>
        <w:rPr/>
        <w:t>广东协作项目管理有限公司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采购包1（中央商贸大道碧桂园幼儿园设施设备）：</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4%</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采购包1（中央商贸大道碧桂园幼儿园设施设备）：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提供2022年度财务状况报告复印件，若供应商注册未满一年的，则提供成立至今的月或季度财务状况报告，或提供基本户银行出具的资信证明复印件。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
      <w:pPr>
        <w:ind w:firstLine="480"/>
      </w:pPr>
      <w:r>
        <w:rPr/>
        <w:t>表二符合性审查表：</w:t>
      </w:r>
    </w:p>
    <w:p>
      <w:pPr>
        <w:ind w:firstLine="480"/>
      </w:pPr>
    </w:p>
    <w:p/>
    <w:p>
      <w:r>
        <w:rPr/>
        <w:t>采购包1（中央商贸大道碧桂园幼儿园设施设备）：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招标文件的式样和签署要求</w:t>
            </w:r>
          </w:p>
        </w:tc>
        <w:tc>
          <w:tcPr>
            <w:tcW w:type="dxa" w:w="4238"/>
          </w:tcPr>
          <w:p>
            <w:r>
              <w:rPr/>
              <w:t>投标文件符合招标文件式样和签署要求；</w:t>
            </w:r>
          </w:p>
        </w:tc>
      </w:tr>
      <w:tr>
        <w:tc>
          <w:tcPr>
            <w:tcW w:type="dxa" w:w="890"/>
          </w:tcPr>
          <w:p>
            <w:r>
              <w:rPr/>
              <w:t>2</w:t>
            </w:r>
          </w:p>
        </w:tc>
        <w:tc>
          <w:tcPr>
            <w:tcW w:type="dxa" w:w="3178"/>
          </w:tcPr>
          <w:p>
            <w:r>
              <w:rPr/>
              <w:t>投标有效期</w:t>
            </w:r>
          </w:p>
        </w:tc>
        <w:tc>
          <w:tcPr>
            <w:tcW w:type="dxa" w:w="4238"/>
          </w:tcPr>
          <w:p>
            <w:r>
              <w:rPr/>
              <w:t>投标有效期符合招标文件要求；</w:t>
            </w:r>
          </w:p>
        </w:tc>
      </w:tr>
      <w:tr>
        <w:tc>
          <w:tcPr>
            <w:tcW w:type="dxa" w:w="890"/>
          </w:tcPr>
          <w:p>
            <w:r>
              <w:rPr/>
              <w:t>3</w:t>
            </w:r>
          </w:p>
        </w:tc>
        <w:tc>
          <w:tcPr>
            <w:tcW w:type="dxa" w:w="3178"/>
          </w:tcPr>
          <w:p>
            <w:r>
              <w:rPr/>
              <w:t>不存在低于成本价投标或投标报价明显不合理且投标人不能合理说明的情况</w:t>
            </w:r>
          </w:p>
        </w:tc>
        <w:tc>
          <w:tcPr>
            <w:tcW w:type="dxa" w:w="4238"/>
          </w:tcPr>
          <w:p>
            <w:r>
              <w:rPr/>
              <w:t>不存在低于成本价投标或投标报价明显不合理且投标人不能合理说明的情况；</w:t>
            </w:r>
          </w:p>
        </w:tc>
      </w:tr>
      <w:tr>
        <w:tc>
          <w:tcPr>
            <w:tcW w:type="dxa" w:w="890"/>
          </w:tcPr>
          <w:p>
            <w:r>
              <w:rPr/>
              <w:t>4</w:t>
            </w:r>
          </w:p>
        </w:tc>
        <w:tc>
          <w:tcPr>
            <w:tcW w:type="dxa" w:w="3178"/>
          </w:tcPr>
          <w:p>
            <w:r>
              <w:rPr/>
              <w:t>投标总金额超过本项目采购预算或超出招标文件对投标报价的各项要求</w:t>
            </w:r>
          </w:p>
        </w:tc>
        <w:tc>
          <w:tcPr>
            <w:tcW w:type="dxa" w:w="4238"/>
          </w:tcPr>
          <w:p>
            <w:r>
              <w:rPr/>
              <w:t>投标总金额超过本项目采购预算或超出招标文件对投标报价的各项要求；</w:t>
            </w:r>
          </w:p>
        </w:tc>
      </w:tr>
      <w:tr>
        <w:tc>
          <w:tcPr>
            <w:tcW w:type="dxa" w:w="890"/>
          </w:tcPr>
          <w:p>
            <w:r>
              <w:rPr/>
              <w:t>5</w:t>
            </w:r>
          </w:p>
        </w:tc>
        <w:tc>
          <w:tcPr>
            <w:tcW w:type="dxa" w:w="3178"/>
          </w:tcPr>
          <w:p>
            <w:r>
              <w:rPr/>
              <w:t>投标报价是否固定唯一价</w:t>
            </w:r>
          </w:p>
        </w:tc>
        <w:tc>
          <w:tcPr>
            <w:tcW w:type="dxa" w:w="4238"/>
          </w:tcPr>
          <w:p>
            <w:r>
              <w:rPr/>
              <w:t>投标报价是否固定唯一价；</w:t>
            </w:r>
          </w:p>
        </w:tc>
      </w:tr>
      <w:tr>
        <w:tc>
          <w:tcPr>
            <w:tcW w:type="dxa" w:w="890"/>
          </w:tcPr>
          <w:p>
            <w:r>
              <w:rPr/>
              <w:t>6</w:t>
            </w:r>
          </w:p>
        </w:tc>
        <w:tc>
          <w:tcPr>
            <w:tcW w:type="dxa" w:w="3178"/>
          </w:tcPr>
          <w:p>
            <w:r>
              <w:rPr/>
              <w:t>投标文件“★”号条款（若有）满足招标文件要求，或无其他未实质性响应招标文件要求，或无经评委认定为无效标的</w:t>
            </w:r>
          </w:p>
        </w:tc>
        <w:tc>
          <w:tcPr>
            <w:tcW w:type="dxa" w:w="4238"/>
          </w:tcPr>
          <w:p>
            <w:r>
              <w:rPr/>
              <w:t>投标文件“★”号条款（若有）满足招标文件要求，或无其他未实质性响应招标文件要求，或无经评委认定为无效标的。</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采购包1(中央商贸大道碧桂园幼儿园设施设备):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 (15.0分)</w:t>
            </w:r>
          </w:p>
        </w:tc>
        <w:tc>
          <w:tcPr>
            <w:tcW w:type="dxa" w:w="5076"/>
          </w:tcPr>
          <w:p>
            <w:pPr>
              <w:jc w:val="left"/>
            </w:pPr>
            <w:r>
              <w:rPr/>
              <w:t>1、带“▲”号技术性能参数响应，每满足一个“▲”号，得0.5分；满分7.5分。 2、一般技术性能参数（除“▲”号外）响应，完全满足或优于得7.5分，有1-3项负偏离，得6分；有4-6项负偏离，得4.5分；有7-9项负偏离，得3分；有10-12项负偏离，得1.5分；13项以上负偏离不得分。</w:t>
            </w:r>
          </w:p>
        </w:tc>
      </w:tr>
      <w:tr>
        <w:tc>
          <w:tcPr>
            <w:tcW w:type="dxa" w:w="922"/>
            <w:gridSpan w:val="2"/>
            <w:vMerge/>
          </w:tcPr>
          <w:p/>
        </w:tc>
        <w:tc>
          <w:tcPr>
            <w:tcW w:type="dxa" w:w="2307"/>
          </w:tcPr>
          <w:p>
            <w:pPr>
              <w:jc w:val="left"/>
            </w:pPr>
            <w:r>
              <w:rPr/>
              <w:t>实施方案 (15.0分)</w:t>
            </w:r>
          </w:p>
        </w:tc>
        <w:tc>
          <w:tcPr>
            <w:tcW w:type="dxa" w:w="5076"/>
          </w:tcPr>
          <w:p>
            <w:pPr>
              <w:jc w:val="left"/>
            </w:pPr>
            <w:r>
              <w:rPr/>
              <w:t>总体实施规划方案（包括但不限于实施过程的管理方案与措施、实施进度安排、项目应急预案、实施团队组建情况等方面）：  1.方案完整、全面，响应速度满足文件要求，总体实施规划涉及面广、条理清晰，明确合理，团队人员配置完善、分工明确，与采购人的需求契合度高，得15分；  2.方案较完整、全面，条理清晰，团队人员配置较完善、分工较明确，基本满足采购人的需求，得10分；  3.方案较欠缺、基本完善、合理性较欠缺，得5分；  4.未提供不得分。</w:t>
            </w:r>
          </w:p>
        </w:tc>
      </w:tr>
      <w:tr>
        <w:tc>
          <w:tcPr>
            <w:tcW w:type="dxa" w:w="922"/>
            <w:gridSpan w:val="2"/>
            <w:vMerge/>
          </w:tcPr>
          <w:p/>
        </w:tc>
        <w:tc>
          <w:tcPr>
            <w:tcW w:type="dxa" w:w="2307"/>
          </w:tcPr>
          <w:p>
            <w:pPr>
              <w:jc w:val="left"/>
            </w:pPr>
            <w:r>
              <w:rPr/>
              <w:t>质量保证措施 (10.0分)</w:t>
            </w:r>
          </w:p>
        </w:tc>
        <w:tc>
          <w:tcPr>
            <w:tcW w:type="dxa" w:w="5076"/>
          </w:tcPr>
          <w:p>
            <w:pPr>
              <w:jc w:val="left"/>
            </w:pPr>
            <w:r>
              <w:rPr/>
              <w:t>根据投标人提供的货物和项目执行过程中的质量保证措施（包括但不限于：详细的质量保证措施及质量保障计划等内容）进行评分： 1、内容全面、具体、针对性强得10分。 2、内容基本全面、具有针对性得7分。 3、内容片面、简单、针对性不强得3分。 4、没有提供本项目内容或有不利于采购人内容得0分。</w:t>
            </w:r>
          </w:p>
        </w:tc>
      </w:tr>
      <w:tr>
        <w:tc>
          <w:tcPr>
            <w:tcW w:type="dxa" w:w="922"/>
            <w:gridSpan w:val="2"/>
            <w:vMerge/>
          </w:tcPr>
          <w:p/>
        </w:tc>
        <w:tc>
          <w:tcPr>
            <w:tcW w:type="dxa" w:w="2307"/>
          </w:tcPr>
          <w:p>
            <w:pPr>
              <w:jc w:val="left"/>
            </w:pPr>
            <w:r>
              <w:rPr/>
              <w:t>供货进度，培训计划 (10.0分)</w:t>
            </w:r>
          </w:p>
        </w:tc>
        <w:tc>
          <w:tcPr>
            <w:tcW w:type="dxa" w:w="5076"/>
          </w:tcPr>
          <w:p>
            <w:pPr>
              <w:jc w:val="left"/>
            </w:pPr>
            <w:r>
              <w:rPr/>
              <w:t>满足供货及安装培训方便快捷得10分； 基本满足供货及安装培训较好得7分； 低于供货及安装培训较差得3分； 无提供得0分。</w:t>
            </w:r>
          </w:p>
        </w:tc>
      </w:tr>
      <w:tr>
        <w:tc>
          <w:tcPr>
            <w:tcW w:type="dxa" w:w="922"/>
            <w:gridSpan w:val="2"/>
            <w:vMerge w:val="restart"/>
          </w:tcPr>
          <w:p>
            <w:pPr>
              <w:jc w:val="center"/>
            </w:pPr>
            <w:r>
              <w:rPr/>
              <w:t>商务部分</w:t>
            </w:r>
          </w:p>
        </w:tc>
        <w:tc>
          <w:tcPr>
            <w:tcW w:type="dxa" w:w="2307"/>
          </w:tcPr>
          <w:p>
            <w:pPr>
              <w:jc w:val="left"/>
            </w:pPr>
            <w:r>
              <w:rPr/>
              <w:t>商务响应 (5.0分)</w:t>
            </w:r>
          </w:p>
        </w:tc>
        <w:tc>
          <w:tcPr>
            <w:tcW w:type="dxa" w:w="5076"/>
          </w:tcPr>
          <w:p>
            <w:pPr>
              <w:jc w:val="left"/>
            </w:pPr>
            <w:r>
              <w:rPr/>
              <w:t>投标人商务响应完全满足或优于招标文件商务条款要求得5分，有1项负偏离不得分。</w:t>
            </w:r>
          </w:p>
        </w:tc>
      </w:tr>
      <w:tr>
        <w:tc>
          <w:tcPr>
            <w:tcW w:type="dxa" w:w="922"/>
            <w:gridSpan w:val="2"/>
            <w:vMerge/>
          </w:tcPr>
          <w:p/>
        </w:tc>
        <w:tc>
          <w:tcPr>
            <w:tcW w:type="dxa" w:w="2307"/>
          </w:tcPr>
          <w:p>
            <w:pPr>
              <w:jc w:val="left"/>
            </w:pPr>
            <w:r>
              <w:rPr/>
              <w:t>业绩 (5.0分)</w:t>
            </w:r>
          </w:p>
        </w:tc>
        <w:tc>
          <w:tcPr>
            <w:tcW w:type="dxa" w:w="5076"/>
          </w:tcPr>
          <w:p>
            <w:pPr>
              <w:jc w:val="left"/>
            </w:pPr>
            <w:r>
              <w:rPr/>
              <w:t>2020年至今具有同类项目业绩，每提供1个得1分，最多得5分。 （须提供销售合同或销售单据，没有提供的不得分）</w:t>
            </w:r>
          </w:p>
        </w:tc>
      </w:tr>
      <w:tr>
        <w:tc>
          <w:tcPr>
            <w:tcW w:type="dxa" w:w="922"/>
            <w:gridSpan w:val="2"/>
            <w:vMerge/>
          </w:tcPr>
          <w:p/>
        </w:tc>
        <w:tc>
          <w:tcPr>
            <w:tcW w:type="dxa" w:w="2307"/>
          </w:tcPr>
          <w:p>
            <w:pPr>
              <w:jc w:val="left"/>
            </w:pPr>
            <w:r>
              <w:rPr/>
              <w:t>售后服务方案 (10.0分)</w:t>
            </w:r>
          </w:p>
        </w:tc>
        <w:tc>
          <w:tcPr>
            <w:tcW w:type="dxa" w:w="5076"/>
          </w:tcPr>
          <w:p>
            <w:pPr>
              <w:jc w:val="left"/>
            </w:pPr>
            <w:r>
              <w:rPr/>
              <w:t>根据投标人提供的售后服务方案（包括但不限于售后内容、售后服务计划及人员支持、应急保障措施等）进行评分： 1、内容全面、具体、针对性强得10分。 2、内容基本全面、具有针对性得7分。 3、内容片面、简单、针对性不强得3分。 4、没有提供本项目内容或有不利于采购人内容得0分。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4"/>
        </w:rPr>
        <w:t>甲　　方：</w:t>
      </w:r>
      <w:r>
        <w:rPr>
          <w:sz w:val="24"/>
          <w:u w:val="single"/>
        </w:rPr>
        <w:t>　采购人　</w:t>
      </w:r>
    </w:p>
    <w:p>
      <w:pPr>
        <w:jc w:val="both"/>
      </w:pPr>
      <w:r>
        <w:rPr>
          <w:sz w:val="24"/>
        </w:rPr>
        <w:t>联系人：</w:t>
      </w:r>
      <w:r>
        <w:rPr>
          <w:sz w:val="24"/>
          <w:u w:val="single"/>
        </w:rPr>
        <w:t xml:space="preserve"> </w:t>
      </w:r>
      <w:r>
        <w:rPr>
          <w:sz w:val="24"/>
        </w:rPr>
        <w:t xml:space="preserve">   　联系方式：</w:t>
      </w:r>
    </w:p>
    <w:p>
      <w:pPr>
        <w:jc w:val="both"/>
      </w:pPr>
      <w:r>
        <w:rPr>
          <w:sz w:val="24"/>
        </w:rPr>
        <w:t>地   址：</w:t>
      </w:r>
      <w:r>
        <w:rPr>
          <w:sz w:val="24"/>
          <w:u w:val="single"/>
        </w:rPr>
        <w:t xml:space="preserve">                           </w:t>
      </w:r>
    </w:p>
    <w:p>
      <w:pPr>
        <w:jc w:val="both"/>
      </w:pPr>
      <w:r>
        <w:rPr>
          <w:b/>
          <w:sz w:val="24"/>
        </w:rPr>
        <w:t>乙　　方：</w:t>
      </w:r>
      <w:r>
        <w:rPr>
          <w:sz w:val="24"/>
          <w:u w:val="single"/>
        </w:rPr>
        <w:t>　中标人　</w:t>
      </w:r>
    </w:p>
    <w:p>
      <w:pPr>
        <w:jc w:val="both"/>
      </w:pPr>
      <w:r>
        <w:rPr>
          <w:sz w:val="24"/>
        </w:rPr>
        <w:t>联系人：</w:t>
      </w:r>
      <w:r>
        <w:rPr>
          <w:sz w:val="24"/>
          <w:u w:val="single"/>
        </w:rPr>
        <w:t xml:space="preserve"> </w:t>
      </w:r>
      <w:r>
        <w:rPr>
          <w:sz w:val="24"/>
        </w:rPr>
        <w:t xml:space="preserve">   　联系方式：</w:t>
      </w:r>
    </w:p>
    <w:p>
      <w:pPr>
        <w:jc w:val="both"/>
      </w:pPr>
      <w:r>
        <w:rPr>
          <w:sz w:val="24"/>
        </w:rPr>
        <w:t>地   址：</w:t>
      </w:r>
      <w:r>
        <w:rPr>
          <w:sz w:val="24"/>
          <w:u w:val="single"/>
        </w:rPr>
        <w:t xml:space="preserve">                           </w:t>
      </w:r>
    </w:p>
    <w:p>
      <w:pPr>
        <w:ind w:firstLine="480"/>
        <w:jc w:val="both"/>
      </w:pPr>
      <w:r>
        <w:rPr>
          <w:sz w:val="24"/>
        </w:rPr>
        <w:t xml:space="preserve"> </w:t>
      </w:r>
    </w:p>
    <w:p>
      <w:pPr>
        <w:ind w:firstLine="480"/>
        <w:jc w:val="both"/>
      </w:pPr>
      <w:r>
        <w:rPr>
          <w:sz w:val="24"/>
        </w:rPr>
        <w:t>根据</w:t>
      </w:r>
      <w:r>
        <w:rPr>
          <w:sz w:val="24"/>
          <w:u w:val="single"/>
        </w:rPr>
        <w:t xml:space="preserve">             项目</w:t>
      </w:r>
      <w:r>
        <w:rPr>
          <w:sz w:val="24"/>
        </w:rPr>
        <w:t>的采购结果，按照《中华人民共和国政府采购法》、《中华人民共和国民法典(合同编)》的规定，经双方协商，本着平等互利和诚实信用的原则，一致同意签订本合同如下。</w:t>
      </w:r>
    </w:p>
    <w:p>
      <w:pPr>
        <w:jc w:val="both"/>
      </w:pPr>
      <w:r>
        <w:rPr>
          <w:b/>
          <w:sz w:val="24"/>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002"/>
        <w:gridCol w:w="1868"/>
        <w:gridCol w:w="1002"/>
        <w:gridCol w:w="1108"/>
        <w:gridCol w:w="1108"/>
        <w:gridCol w:w="1108"/>
        <w:gridCol w:w="1108"/>
      </w:tblGrid>
      <w:tr>
        <w:tc>
          <w:tcPr>
            <w:tcW w:type="dxa" w:w="1002"/>
            <w:tcBorders>
              <w:top w:val="single" w:color="000000" w:sz="4"/>
              <w:left w:val="single" w:color="000000" w:sz="4"/>
              <w:bottom w:val="single" w:color="000000" w:sz="4"/>
              <w:right w:val="single" w:color="000000" w:sz="4"/>
            </w:tcBorders>
            <w:vAlign w:val="top"/>
          </w:tcPr>
          <w:p>
            <w:pPr>
              <w:jc w:val="center"/>
            </w:pPr>
            <w:r>
              <w:rPr>
                <w:sz w:val="24"/>
              </w:rPr>
              <w:t>名称</w:t>
            </w:r>
          </w:p>
        </w:tc>
        <w:tc>
          <w:tcPr>
            <w:tcW w:type="dxa" w:w="1868"/>
            <w:tcBorders>
              <w:top w:val="single" w:color="000000" w:sz="4"/>
              <w:left w:val="none" w:color="000000" w:sz="4"/>
              <w:bottom w:val="single" w:color="000000" w:sz="4"/>
              <w:right w:val="single" w:color="000000" w:sz="4"/>
            </w:tcBorders>
            <w:vAlign w:val="top"/>
          </w:tcPr>
          <w:p>
            <w:pPr>
              <w:jc w:val="center"/>
            </w:pPr>
            <w:r>
              <w:rPr>
                <w:sz w:val="24"/>
              </w:rPr>
              <w:t>品牌、规格、标准/主要服务内容</w:t>
            </w:r>
          </w:p>
        </w:tc>
        <w:tc>
          <w:tcPr>
            <w:tcW w:type="dxa" w:w="1002"/>
            <w:tcBorders>
              <w:top w:val="single" w:color="000000" w:sz="4"/>
              <w:left w:val="none" w:color="000000" w:sz="4"/>
              <w:bottom w:val="single" w:color="000000" w:sz="4"/>
              <w:right w:val="single" w:color="000000" w:sz="4"/>
            </w:tcBorders>
            <w:vAlign w:val="top"/>
          </w:tcPr>
          <w:p>
            <w:pPr>
              <w:jc w:val="center"/>
            </w:pPr>
            <w:r>
              <w:rPr>
                <w:sz w:val="24"/>
              </w:rPr>
              <w:t>产地</w:t>
            </w:r>
          </w:p>
        </w:tc>
        <w:tc>
          <w:tcPr>
            <w:tcW w:type="dxa" w:w="1108"/>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108"/>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1108"/>
            <w:tcBorders>
              <w:top w:val="single" w:color="000000" w:sz="4"/>
              <w:left w:val="none" w:color="000000" w:sz="4"/>
              <w:bottom w:val="single" w:color="000000" w:sz="4"/>
              <w:right w:val="single" w:color="000000" w:sz="4"/>
            </w:tcBorders>
            <w:vAlign w:val="top"/>
          </w:tcPr>
          <w:p>
            <w:pPr>
              <w:jc w:val="center"/>
            </w:pPr>
            <w:r>
              <w:rPr>
                <w:sz w:val="24"/>
              </w:rPr>
              <w:t>单价（元）</w:t>
            </w:r>
          </w:p>
        </w:tc>
        <w:tc>
          <w:tcPr>
            <w:tcW w:type="dxa" w:w="1108"/>
            <w:tcBorders>
              <w:top w:val="single" w:color="000000" w:sz="4"/>
              <w:left w:val="none" w:color="000000" w:sz="4"/>
              <w:bottom w:val="single" w:color="000000" w:sz="4"/>
              <w:right w:val="single" w:color="000000" w:sz="4"/>
            </w:tcBorders>
            <w:vAlign w:val="top"/>
          </w:tcPr>
          <w:p>
            <w:pPr>
              <w:jc w:val="center"/>
            </w:pPr>
            <w:r>
              <w:rPr>
                <w:sz w:val="24"/>
              </w:rPr>
              <w:t>金额（元）</w:t>
            </w:r>
          </w:p>
        </w:tc>
      </w:tr>
      <w:tr>
        <w:tc>
          <w:tcPr>
            <w:tcW w:type="dxa" w:w="1002"/>
            <w:tcBorders>
              <w:top w:val="none" w:color="000000" w:sz="4"/>
              <w:left w:val="single" w:color="000000" w:sz="4"/>
              <w:bottom w:val="single" w:color="000000" w:sz="4"/>
              <w:right w:val="single" w:color="000000" w:sz="4"/>
            </w:tcBorders>
            <w:vAlign w:val="top"/>
          </w:tcPr>
          <w:p>
            <w:pPr>
              <w:jc w:val="both"/>
            </w:pPr>
            <w:r>
              <w:rPr>
                <w:sz w:val="24"/>
              </w:rPr>
              <w:t xml:space="preserve"> </w:t>
            </w:r>
          </w:p>
        </w:tc>
        <w:tc>
          <w:tcPr>
            <w:tcW w:type="dxa" w:w="186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002"/>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r>
      <w:tr>
        <w:tc>
          <w:tcPr>
            <w:tcW w:type="dxa" w:w="1002"/>
            <w:tcBorders>
              <w:top w:val="none" w:color="000000" w:sz="4"/>
              <w:left w:val="single" w:color="000000" w:sz="4"/>
              <w:bottom w:val="single" w:color="000000" w:sz="4"/>
              <w:right w:val="single" w:color="000000" w:sz="4"/>
            </w:tcBorders>
            <w:vAlign w:val="top"/>
          </w:tcPr>
          <w:p>
            <w:pPr>
              <w:jc w:val="both"/>
            </w:pPr>
            <w:r>
              <w:rPr>
                <w:sz w:val="24"/>
              </w:rPr>
              <w:t xml:space="preserve"> </w:t>
            </w:r>
          </w:p>
        </w:tc>
        <w:tc>
          <w:tcPr>
            <w:tcW w:type="dxa" w:w="186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002"/>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r>
      <w:tr>
        <w:tc>
          <w:tcPr>
            <w:tcW w:type="dxa" w:w="1002"/>
            <w:tcBorders>
              <w:top w:val="none" w:color="000000" w:sz="4"/>
              <w:left w:val="single" w:color="000000" w:sz="4"/>
              <w:bottom w:val="single" w:color="000000" w:sz="4"/>
              <w:right w:val="single" w:color="000000" w:sz="4"/>
            </w:tcBorders>
            <w:vAlign w:val="top"/>
          </w:tcPr>
          <w:p>
            <w:pPr>
              <w:jc w:val="both"/>
            </w:pPr>
            <w:r>
              <w:rPr>
                <w:sz w:val="24"/>
              </w:rPr>
              <w:t xml:space="preserve"> </w:t>
            </w:r>
          </w:p>
        </w:tc>
        <w:tc>
          <w:tcPr>
            <w:tcW w:type="dxa" w:w="186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002"/>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c>
          <w:tcPr>
            <w:tcW w:type="dxa" w:w="1108"/>
            <w:tcBorders>
              <w:top w:val="none" w:color="000000" w:sz="4"/>
              <w:left w:val="none" w:color="000000" w:sz="4"/>
              <w:bottom w:val="single" w:color="000000" w:sz="4"/>
              <w:right w:val="single" w:color="000000" w:sz="4"/>
            </w:tcBorders>
            <w:vAlign w:val="top"/>
          </w:tcPr>
          <w:p>
            <w:pPr>
              <w:jc w:val="both"/>
            </w:pPr>
            <w:r>
              <w:rPr>
                <w:sz w:val="24"/>
              </w:rPr>
              <w:t xml:space="preserve"> </w:t>
            </w:r>
          </w:p>
        </w:tc>
      </w:tr>
      <w:tr>
        <w:tc>
          <w:tcPr>
            <w:tcW w:type="dxa" w:w="7196"/>
            <w:gridSpan w:val="6"/>
            <w:tcBorders>
              <w:top w:val="none" w:color="000000" w:sz="4"/>
              <w:left w:val="single" w:color="000000" w:sz="4"/>
              <w:bottom w:val="single" w:color="000000" w:sz="4"/>
              <w:right w:val="single" w:color="000000" w:sz="4"/>
            </w:tcBorders>
            <w:vAlign w:val="top"/>
          </w:tcPr>
          <w:p>
            <w:pPr>
              <w:ind w:firstLine="200"/>
              <w:jc w:val="both"/>
            </w:pPr>
            <w:r>
              <w:rPr>
                <w:sz w:val="24"/>
              </w:rPr>
              <w:t>合计：人民币大写：元整</w:t>
            </w:r>
          </w:p>
        </w:tc>
        <w:tc>
          <w:tcPr>
            <w:tcW w:type="dxa" w:w="1108"/>
            <w:tcBorders>
              <w:top w:val="none" w:color="000000" w:sz="4"/>
              <w:left w:val="none" w:color="000000" w:sz="4"/>
              <w:bottom w:val="single" w:color="000000" w:sz="4"/>
              <w:right w:val="single" w:color="000000" w:sz="4"/>
            </w:tcBorders>
            <w:vAlign w:val="top"/>
          </w:tcPr>
          <w:p>
            <w:pPr>
              <w:jc w:val="both"/>
            </w:pPr>
            <w:r>
              <w:rPr>
                <w:sz w:val="24"/>
              </w:rPr>
              <w:t>￥：</w:t>
            </w:r>
          </w:p>
        </w:tc>
      </w:tr>
    </w:tbl>
    <w:p>
      <w:pPr>
        <w:ind w:firstLine="480"/>
        <w:jc w:val="both"/>
      </w:pPr>
      <w:r>
        <w:rPr>
          <w:sz w:val="24"/>
        </w:rPr>
        <w:t>合同总额包括乙方设计、安装、随机零配件、标配工具、运输保险、调试、培训、质保期服务、各项税费及合同实施过程中不可预见费用等。</w:t>
      </w:r>
    </w:p>
    <w:p>
      <w:pPr>
        <w:jc w:val="both"/>
      </w:pPr>
      <w:r>
        <w:rPr>
          <w:b/>
          <w:sz w:val="24"/>
        </w:rPr>
        <w:t>二、合同金额</w:t>
      </w:r>
    </w:p>
    <w:p>
      <w:pPr>
        <w:ind w:firstLine="480"/>
        <w:jc w:val="both"/>
      </w:pPr>
      <w:r>
        <w:rPr>
          <w:sz w:val="24"/>
        </w:rPr>
        <w:t>合同金额为（大写）：______元（￥______元）人民币。</w:t>
      </w:r>
    </w:p>
    <w:p>
      <w:pPr>
        <w:jc w:val="both"/>
      </w:pPr>
      <w:r>
        <w:rPr>
          <w:b/>
          <w:sz w:val="24"/>
        </w:rPr>
        <w:t>三、货物要求</w:t>
      </w:r>
    </w:p>
    <w:p>
      <w:pPr>
        <w:ind w:firstLine="480"/>
        <w:jc w:val="both"/>
      </w:pPr>
      <w:r>
        <w:rPr>
          <w:sz w:val="24"/>
        </w:rPr>
        <w:t>1.中标人所投货物须是厂商原装的、全新的、型号、性能及指标符合或优于国家及招标文件提出的有关技术、质量、安全标准、要求的货物。</w:t>
      </w:r>
    </w:p>
    <w:p>
      <w:pPr>
        <w:ind w:firstLine="480"/>
        <w:jc w:val="both"/>
      </w:pPr>
      <w:r>
        <w:rPr>
          <w:sz w:val="24"/>
        </w:rPr>
        <w:t>2.设备包装均应有良好的防湿、防锈、防潮、防雨、防腐及防碰撞的措施。凡由于包装不良造成的损失和由此产生的费用均由中标人承担。</w:t>
      </w:r>
    </w:p>
    <w:p>
      <w:pPr>
        <w:ind w:firstLine="480"/>
        <w:jc w:val="both"/>
      </w:pPr>
      <w:r>
        <w:rPr>
          <w:sz w:val="24"/>
        </w:rPr>
        <w:t>3.设备外观清洁，标记编号以及盘面显示等字体清晰，明确。</w:t>
      </w:r>
    </w:p>
    <w:p>
      <w:pPr>
        <w:ind w:firstLine="480"/>
        <w:jc w:val="both"/>
      </w:pPr>
      <w:r>
        <w:rPr>
          <w:sz w:val="24"/>
        </w:rPr>
        <w:t>4.所投产品须是在中国范围内合法销售，并完全符合用户要求的产品。</w:t>
      </w:r>
    </w:p>
    <w:p>
      <w:pPr>
        <w:ind w:firstLine="480"/>
        <w:jc w:val="both"/>
      </w:pPr>
      <w:r>
        <w:rPr>
          <w:sz w:val="24"/>
        </w:rPr>
        <w:t>5.中标人应提供包括但不限于满足设备安装、使用和维护的技术文件，如设备和附件箱清单、质量合格检验证明文件、保修服务卡。</w:t>
      </w:r>
    </w:p>
    <w:p>
      <w:pPr>
        <w:jc w:val="both"/>
      </w:pPr>
      <w:r>
        <w:rPr>
          <w:b/>
          <w:sz w:val="24"/>
        </w:rPr>
        <w:t>四、交货期、交货方式及交货地点</w:t>
      </w:r>
    </w:p>
    <w:p>
      <w:pPr>
        <w:ind w:firstLine="480"/>
        <w:jc w:val="both"/>
      </w:pPr>
      <w:r>
        <w:rPr>
          <w:sz w:val="24"/>
        </w:rPr>
        <w:t>1.交货期：签订合同后15天内完成交货及所有货物的安装、调试，并完成对使用单位相关人员的操作与使用培训。</w:t>
      </w:r>
    </w:p>
    <w:p>
      <w:pPr>
        <w:ind w:firstLine="480"/>
        <w:jc w:val="both"/>
      </w:pPr>
      <w:r>
        <w:rPr>
          <w:sz w:val="24"/>
        </w:rPr>
        <w:t>2.交货方式：送货上门。</w:t>
      </w:r>
    </w:p>
    <w:p>
      <w:pPr>
        <w:ind w:firstLine="480"/>
        <w:jc w:val="both"/>
      </w:pPr>
      <w:r>
        <w:rPr>
          <w:sz w:val="24"/>
        </w:rPr>
        <w:t>3.交货地点：用户指定地点。</w:t>
      </w:r>
    </w:p>
    <w:p>
      <w:pPr>
        <w:jc w:val="both"/>
      </w:pPr>
      <w:r>
        <w:rPr>
          <w:b/>
          <w:sz w:val="24"/>
        </w:rPr>
        <w:t>五、付款方式</w:t>
      </w:r>
    </w:p>
    <w:p>
      <w:pPr>
        <w:ind w:firstLine="480"/>
        <w:jc w:val="both"/>
      </w:pPr>
      <w:r>
        <w:rPr>
          <w:sz w:val="24"/>
        </w:rPr>
        <w:t>鉴于本采购项目所包括的其他安装服务款项的审核和结算原则，故本项目分两部分进行支付：1、设施设备：（一）合同签订之日起5个工作日内，采购人向中标人支付合同该部分金额的50%。（二）主要设备进场后之日起5个工作日内，采购人向中标人支付至合同该部分金额的80%。（三）完成所有设施设备验收之日起5个工作日内，采购人向中标支付至合同该部分金额的100%。</w:t>
      </w:r>
    </w:p>
    <w:p>
      <w:pPr>
        <w:ind w:firstLine="480"/>
        <w:jc w:val="both"/>
      </w:pPr>
      <w:r>
        <w:rPr>
          <w:sz w:val="24"/>
        </w:rPr>
        <w:t>2、其他安装服务：（一）合同签订之日起5个工作日内，采购人向中标人支付合同该部分金额的30%。（二）采购人最终确定安装服务方案及工作清单之日起5个工作日内，采购人向中标人支付至合同该部分金额的85%。（三）完成项目总体最终验收并收到政府财政主管部门的财审结果之日起起5个工作日内，采购人向中标支付至合同总金额的100%。</w:t>
      </w:r>
    </w:p>
    <w:p>
      <w:pPr>
        <w:jc w:val="both"/>
      </w:pPr>
      <w:r>
        <w:rPr>
          <w:b/>
          <w:sz w:val="24"/>
        </w:rPr>
        <w:t>六、售后要求</w:t>
      </w:r>
    </w:p>
    <w:p>
      <w:pPr>
        <w:ind w:firstLine="480"/>
        <w:jc w:val="both"/>
      </w:pPr>
      <w:r>
        <w:rPr>
          <w:sz w:val="24"/>
        </w:rPr>
        <w:t>1.所有货物保证在交付采购人使用之日起，承诺 1 年免费售后服务质量保证期，终身维护，在质保期内中标人免费提供货物正常使用情况下的维修及保养服务。</w:t>
      </w:r>
    </w:p>
    <w:p>
      <w:pPr>
        <w:ind w:firstLine="480"/>
        <w:jc w:val="both"/>
      </w:pPr>
      <w:r>
        <w:rPr>
          <w:sz w:val="24"/>
        </w:rPr>
        <w:t>2.采购人按中标价格和数量向中标人采购本项目货物后，若需增加采购相同品牌型号的货物，中标人必须按相同的配置和不高于中标价格销售给采购人。</w:t>
      </w:r>
    </w:p>
    <w:p>
      <w:pPr>
        <w:ind w:firstLine="480"/>
        <w:jc w:val="both"/>
      </w:pPr>
      <w:r>
        <w:rPr>
          <w:sz w:val="24"/>
        </w:rPr>
        <w:t>3.中标人所供货物须按厂家承诺实行“三包”，若发现本次采购的货物本身存在缺陷，供应商须无条件退货或者更换同类产品。4.在保用的期限内，货物出现质量问题的，无偿为采购人更换相应货物，并保证采购人的正常使用；中标人应在接到通知后2小时之内响应，4小时内到现场，一般情况在8小时内须排除，特殊情况需与采购人说明情况，并提供代用货物，保证采购人的正常工作使用。</w:t>
      </w:r>
    </w:p>
    <w:p>
      <w:pPr>
        <w:jc w:val="both"/>
      </w:pPr>
      <w:r>
        <w:rPr>
          <w:b/>
          <w:sz w:val="24"/>
        </w:rPr>
        <w:t>七、施工要求</w:t>
      </w:r>
    </w:p>
    <w:p>
      <w:pPr>
        <w:ind w:firstLine="480"/>
        <w:jc w:val="both"/>
      </w:pPr>
      <w:r>
        <w:rPr>
          <w:sz w:val="24"/>
        </w:rPr>
        <w:t>1.中标人在工程建设阶段必须按照国家及行业相关安全法律法规组织施工，确保不发生安全事故。如发生施工安全事故，由中标人承担所有责任。</w:t>
      </w:r>
    </w:p>
    <w:p>
      <w:pPr>
        <w:ind w:firstLine="480"/>
        <w:jc w:val="both"/>
      </w:pPr>
      <w:r>
        <w:rPr>
          <w:sz w:val="24"/>
        </w:rPr>
        <w:t>2.中标人在施工过程中，如需对墙体和地面等作局部破损，须在施工前取得采购人的书面同意，并负责恢复原状。</w:t>
      </w:r>
    </w:p>
    <w:p>
      <w:pPr>
        <w:jc w:val="both"/>
      </w:pPr>
      <w:r>
        <w:rPr>
          <w:b/>
          <w:sz w:val="24"/>
        </w:rPr>
        <w:t>八、验收：</w:t>
      </w:r>
    </w:p>
    <w:p>
      <w:pPr>
        <w:ind w:firstLine="480"/>
        <w:jc w:val="both"/>
      </w:pPr>
      <w:r>
        <w:rPr>
          <w:sz w:val="24"/>
        </w:rPr>
        <w:t>1.依文件要求对全部货物、产品、型号、规格、数量、外型、外观、包装及资料、文件（如装箱单、保修单、随箱介质等）的验收；</w:t>
      </w:r>
    </w:p>
    <w:p>
      <w:pPr>
        <w:ind w:firstLine="480"/>
        <w:jc w:val="both"/>
      </w:pPr>
      <w:r>
        <w:rPr>
          <w:sz w:val="24"/>
        </w:rPr>
        <w:t>2.拆箱后，应对其全部产品、零件、配件、用户许可证书、资料、介质进行登记，并与装箱单对比，如有出入应立即书面记录，由供货商解决，如影响安装则按合同有关条款处理；</w:t>
      </w:r>
    </w:p>
    <w:p>
      <w:pPr>
        <w:ind w:firstLine="480"/>
        <w:jc w:val="both"/>
      </w:pPr>
      <w:r>
        <w:rPr>
          <w:sz w:val="24"/>
        </w:rPr>
        <w:t>3.如商检或者货物测试中发现货物性能指标或者功能上不符合采购文件和合同要求时，将被看作性能不合格，货物使用单位有权拒收并要求赔偿；</w:t>
      </w:r>
    </w:p>
    <w:p>
      <w:pPr>
        <w:ind w:firstLine="480"/>
        <w:jc w:val="both"/>
      </w:pPr>
      <w:r>
        <w:rPr>
          <w:sz w:val="24"/>
        </w:rPr>
        <w:t>4.验收时供应商负责将全部有关技术文件、资料、及安装、测试、验收报告等到文档汇集成册交付采购人；</w:t>
      </w:r>
    </w:p>
    <w:p>
      <w:pPr>
        <w:ind w:firstLine="480"/>
        <w:jc w:val="both"/>
      </w:pPr>
      <w:r>
        <w:rPr>
          <w:sz w:val="24"/>
        </w:rPr>
        <w:t>5.中标人投标时所提供的货物如在实际供货时已经废型（不列入该厂家当时的产品系统），如果未能按原价提供更高配置的货物，则按违约处理。</w:t>
      </w:r>
    </w:p>
    <w:p>
      <w:pPr>
        <w:jc w:val="both"/>
      </w:pPr>
      <w:r>
        <w:rPr>
          <w:b/>
          <w:sz w:val="24"/>
        </w:rPr>
        <w:t>九、违约责任与赔偿损失</w:t>
      </w:r>
    </w:p>
    <w:p>
      <w:pPr>
        <w:ind w:firstLine="480"/>
        <w:jc w:val="both"/>
      </w:pPr>
      <w:r>
        <w:rPr>
          <w:sz w:val="24"/>
        </w:rPr>
        <w:t>1.乙方交付的货物、工程/提供的服务不符合本合同规定的，甲方有权拒收，并且乙方须向甲方支付本合同总价5%的违约金。</w:t>
      </w:r>
    </w:p>
    <w:p>
      <w:pPr>
        <w:ind w:firstLine="480"/>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ind w:firstLine="480"/>
        <w:jc w:val="both"/>
      </w:pPr>
      <w:r>
        <w:rPr>
          <w:sz w:val="24"/>
        </w:rPr>
        <w:t>3.甲方无正当理由拒收货物/接受服务，到期拒付货物/服务款项的，甲方向乙方偿付本合同总价的5%的违约金。甲方逾期付款，则每日按本合同总价的3‰向乙方偿付违约金。</w:t>
      </w:r>
    </w:p>
    <w:p>
      <w:pPr>
        <w:ind w:firstLine="480"/>
        <w:jc w:val="both"/>
      </w:pPr>
      <w:r>
        <w:rPr>
          <w:sz w:val="24"/>
        </w:rPr>
        <w:t>4.其它违约责任按《中华人民共和国民法典(合同编)》处理。</w:t>
      </w:r>
    </w:p>
    <w:p>
      <w:pPr>
        <w:jc w:val="both"/>
      </w:pPr>
      <w:r>
        <w:rPr>
          <w:b/>
          <w:sz w:val="24"/>
        </w:rPr>
        <w:t>十、争议的解决</w:t>
      </w:r>
    </w:p>
    <w:p>
      <w:pPr>
        <w:ind w:firstLine="480"/>
        <w:jc w:val="both"/>
      </w:pPr>
      <w:r>
        <w:rPr>
          <w:sz w:val="24"/>
        </w:rPr>
        <w:t>1.凡与本合同有关而引起的一切争议，甲乙双方应首先通过友好协商解决，如经协商后仍不能达成协议时，任何一方可以向法院提出诉讼。</w:t>
      </w:r>
    </w:p>
    <w:p>
      <w:pPr>
        <w:ind w:firstLine="480"/>
        <w:jc w:val="both"/>
      </w:pPr>
      <w:r>
        <w:rPr>
          <w:sz w:val="24"/>
        </w:rPr>
        <w:t>2.本合同的诉讼管辖地为甲方所在地有管辖权的法院。</w:t>
      </w:r>
    </w:p>
    <w:p>
      <w:pPr>
        <w:jc w:val="both"/>
      </w:pPr>
      <w:r>
        <w:rPr>
          <w:b/>
          <w:sz w:val="24"/>
        </w:rPr>
        <w:t>十一、不可抗力</w:t>
      </w:r>
    </w:p>
    <w:p>
      <w:pPr>
        <w:ind w:firstLine="480"/>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十二、税费</w:t>
      </w:r>
    </w:p>
    <w:p>
      <w:pPr>
        <w:ind w:firstLine="480"/>
        <w:jc w:val="both"/>
      </w:pPr>
      <w:r>
        <w:rPr>
          <w:sz w:val="24"/>
        </w:rPr>
        <w:t>1.在中国境内、外发生的与本合同执行有关的一切税费均由乙方负担。</w:t>
      </w:r>
    </w:p>
    <w:p>
      <w:pPr>
        <w:jc w:val="both"/>
      </w:pPr>
      <w:r>
        <w:rPr>
          <w:b/>
          <w:sz w:val="24"/>
        </w:rPr>
        <w:t>十三、其它</w:t>
      </w:r>
    </w:p>
    <w:p>
      <w:pPr>
        <w:ind w:firstLine="480"/>
        <w:jc w:val="both"/>
      </w:pPr>
      <w:r>
        <w:rPr>
          <w:sz w:val="24"/>
        </w:rPr>
        <w:t>1.本合同所有附件、招标文件、投标文件、中标通知书均为合同的有效组成部分，与本合同具有同等法律效力。</w:t>
      </w:r>
    </w:p>
    <w:p>
      <w:pPr>
        <w:ind w:firstLine="480"/>
        <w:jc w:val="both"/>
      </w:pPr>
      <w:r>
        <w:rPr>
          <w:sz w:val="24"/>
        </w:rPr>
        <w:t>2.在执行本合同的过程中，所有经双方签署确认的文件（包括会议纪要、补充协议、往来信函）即成为本合同的有效组成部分。</w:t>
      </w:r>
    </w:p>
    <w:p>
      <w:pPr>
        <w:ind w:firstLine="480"/>
        <w:jc w:val="both"/>
      </w:pPr>
      <w:r>
        <w:rPr>
          <w:sz w:val="24"/>
        </w:rPr>
        <w:t>3.如一方地址、电话、传真号码有变更，应在变更当日内书面通知对方，否则，应承担相应责任。</w:t>
      </w:r>
    </w:p>
    <w:p>
      <w:pPr>
        <w:ind w:firstLine="480"/>
        <w:jc w:val="both"/>
      </w:pPr>
      <w:r>
        <w:rPr>
          <w:sz w:val="24"/>
        </w:rPr>
        <w:t>4.除甲方事先书面同意外，乙方不得部分或全部转让其应履行的合同项下的义务。</w:t>
      </w:r>
    </w:p>
    <w:p>
      <w:pPr>
        <w:jc w:val="both"/>
      </w:pPr>
      <w:r>
        <w:rPr>
          <w:b/>
          <w:sz w:val="24"/>
        </w:rPr>
        <w:t>十四、合同生效</w:t>
      </w:r>
    </w:p>
    <w:p>
      <w:pPr>
        <w:ind w:firstLine="480"/>
        <w:jc w:val="both"/>
      </w:pPr>
      <w:r>
        <w:rPr>
          <w:sz w:val="24"/>
        </w:rPr>
        <w:t>1.本合同在甲乙双方法人代表或其授权代表签字盖章后生效。</w:t>
      </w:r>
    </w:p>
    <w:p>
      <w:pPr>
        <w:ind w:firstLine="480"/>
        <w:jc w:val="both"/>
      </w:pPr>
      <w:r>
        <w:rPr>
          <w:sz w:val="24"/>
        </w:rPr>
        <w:t>2.合同一式</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份，采购代理机构</w:t>
      </w:r>
      <w:r>
        <w:rPr>
          <w:sz w:val="24"/>
          <w:u w:val="single"/>
        </w:rPr>
        <w:t>1</w:t>
      </w:r>
      <w:r>
        <w:rPr>
          <w:sz w:val="24"/>
        </w:rPr>
        <w:t>份。</w:t>
      </w:r>
    </w:p>
    <w:p>
      <w:pPr>
        <w:ind w:firstLine="480"/>
        <w:jc w:val="both"/>
      </w:pPr>
      <w:r>
        <w:rPr>
          <w:sz w:val="24"/>
        </w:rPr>
        <w:t xml:space="preserve"> </w:t>
      </w:r>
    </w:p>
    <w:p>
      <w:pPr>
        <w:ind w:firstLine="482"/>
        <w:jc w:val="both"/>
      </w:pPr>
      <w:r>
        <w:rPr>
          <w:b/>
          <w:sz w:val="24"/>
        </w:rPr>
        <w:t>甲方（盖章）：                        乙方（盖章）：</w:t>
      </w:r>
    </w:p>
    <w:p>
      <w:pPr>
        <w:ind w:firstLine="482"/>
        <w:jc w:val="both"/>
      </w:pPr>
      <w:r>
        <w:rPr>
          <w:b/>
          <w:sz w:val="24"/>
        </w:rPr>
        <w:t>代表：                                代表：</w:t>
      </w:r>
    </w:p>
    <w:p>
      <w:pPr>
        <w:ind w:firstLine="480"/>
        <w:jc w:val="both"/>
      </w:pPr>
      <w:r>
        <w:rPr>
          <w:sz w:val="24"/>
        </w:rPr>
        <w:t>签定地点：</w:t>
      </w:r>
    </w:p>
    <w:p>
      <w:pPr>
        <w:ind w:firstLine="480"/>
        <w:jc w:val="both"/>
      </w:pPr>
      <w:r>
        <w:rPr>
          <w:sz w:val="24"/>
        </w:rPr>
        <w:t>签定日期：  年  月  日             签定日期：  年  月  日</w:t>
      </w:r>
    </w:p>
    <w:p>
      <w:pPr>
        <w:ind w:firstLine="480"/>
        <w:jc w:val="both"/>
      </w:pPr>
      <w:r>
        <w:rPr>
          <w:sz w:val="24"/>
        </w:rPr>
        <w:t xml:space="preserve">                       开户名称：</w:t>
      </w:r>
    </w:p>
    <w:p>
      <w:pPr>
        <w:ind w:firstLine="480"/>
        <w:jc w:val="both"/>
      </w:pPr>
      <w:r>
        <w:rPr>
          <w:sz w:val="24"/>
        </w:rPr>
        <w:t xml:space="preserve">                       银行帐号：</w:t>
      </w:r>
    </w:p>
    <w:p>
      <w:pPr>
        <w:ind w:firstLine="480"/>
        <w:jc w:val="both"/>
      </w:pPr>
      <w:r>
        <w:rPr>
          <w:sz w:val="24"/>
        </w:rPr>
        <w:t xml:space="preserve">                       开户行：</w:t>
      </w: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441481-2023-01285</w:t>
      </w:r>
    </w:p>
    <w:p>
      <w:pPr>
        <w:jc w:val="center"/>
      </w:pPr>
      <w:r>
        <w:rPr>
          <w:b/>
          <w:sz w:val="24"/>
        </w:rPr>
        <w:t>采购项目编号：</w:t>
      </w:r>
      <w:r>
        <w:rPr>
          <w:b/>
          <w:sz w:val="24"/>
        </w:rPr>
        <w:t>GDXZ-ZG-2023323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广东协作项目管理有限公司</w:t>
      </w:r>
    </w:p>
    <w:p>
      <w:pPr>
        <w:ind w:firstLine="480"/>
      </w:pPr>
      <w:r>
        <w:rPr/>
        <w:t>你方组织的</w:t>
      </w:r>
      <w:r>
        <w:rPr>
          <w:u w:val="single"/>
        </w:rPr>
        <w:t>“</w:t>
      </w:r>
      <w:r>
        <w:rPr>
          <w:u w:val="single"/>
        </w:rPr>
        <w:t>兴宁市幼儿园及相关配套设施设备建设项目（中央商贸大道碧桂园幼儿园设施设备采购）</w:t>
      </w:r>
      <w:r>
        <w:rPr>
          <w:u w:val="single"/>
        </w:rPr>
        <w:t>”</w:t>
      </w:r>
      <w:r>
        <w:rPr/>
        <w:t>项目的招标[采购项目编号为：</w:t>
      </w:r>
      <w:r>
        <w:rPr>
          <w:u w:val="single"/>
        </w:rPr>
        <w:t>GDXZ-ZG-2023323</w:t>
      </w:r>
      <w:r>
        <w:rPr/>
        <w:t>]，我方愿参与投标。</w:t>
      </w:r>
    </w:p>
    <w:p>
      <w:pPr>
        <w:ind w:firstLine="480"/>
      </w:pPr>
      <w:r>
        <w:rPr/>
        <w:t>我方确认收到贵方提供的</w:t>
      </w:r>
      <w:r>
        <w:rPr>
          <w:u w:val="single"/>
        </w:rPr>
        <w:t>“</w:t>
      </w:r>
      <w:r>
        <w:rPr>
          <w:u w:val="single"/>
        </w:rPr>
        <w:t>兴宁市幼儿园及相关配套设施设备建设项目（中央商贸大道碧桂园幼儿园设施设备采购）</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广东协作项目管理有限公司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兴宁市幼儿园及相关配套设施设备建设项目（中央商贸大道碧桂园幼儿园设施设备采购）</w:t>
      </w:r>
      <w:r>
        <w:rPr/>
        <w:t>”项目采购[采购项目编号为</w:t>
      </w:r>
      <w:r>
        <w:rPr/>
        <w:t>GDXZ-ZG-2023323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兴宁市教育局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广东协作项目管理有限公司</w:t>
      </w:r>
    </w:p>
    <w:p>
      <w:pPr>
        <w:ind w:firstLine="480"/>
      </w:pPr>
      <w:r>
        <w:rPr/>
        <w:t>如果我方在贵采购代理机构组织的</w:t>
      </w:r>
      <w:r>
        <w:rPr/>
        <w:t>兴宁市幼儿园及相关配套设施设备建设项目（中央商贸大道碧桂园幼儿园设施设备采购）</w:t>
      </w:r>
      <w:r>
        <w:rPr/>
        <w:t>招标中获中标（采购项目编号：</w:t>
      </w:r>
      <w:r>
        <w:rPr/>
        <w:t>GDXZ-ZG-2023323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广东协作项目管理有限公司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广东协作项目管理有限公司</w:t>
      </w:r>
    </w:p>
    <w:p>
      <w:pPr>
        <w:ind w:firstLine="480"/>
      </w:pPr>
      <w:r>
        <w:rPr/>
        <w:t>我单位已登记并准备参与“</w:t>
      </w:r>
      <w:r>
        <w:rPr/>
        <w:t>兴宁市幼儿园及相关配套设施设备建设项目（中央商贸大道碧桂园幼儿园设施设备采购）</w:t>
      </w:r>
      <w:r>
        <w:rPr/>
        <w:t>”项目（采购项目编号：</w:t>
      </w:r>
      <w:r>
        <w:rPr/>
        <w:t>GDXZ-ZG-2023323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